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一、规划概况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ascii="Times New Roman" w:hAnsi="Times New Roman" w:eastAsia="仿宋_GB2312" w:cs="Times New Roman"/>
          <w:b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t>规划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本规划区位于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新平县城西南部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规划范围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北至锦绣路，西至水韵路，南至规划城市道路，东至团山路，总面积为234008.77平方米（351亩）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，为县城核心区位置，四面临路，交通条件较好，地势比较平坦。</w:t>
      </w:r>
    </w:p>
    <w:p>
      <w:pPr>
        <w:jc w:val="left"/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3745230</wp:posOffset>
                </wp:positionV>
                <wp:extent cx="772160" cy="95250"/>
                <wp:effectExtent l="0" t="0" r="889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8965" y="6564630"/>
                          <a:ext cx="77216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95pt;margin-top:294.9pt;height:7.5pt;width:60.8pt;z-index:251660288;v-text-anchor:middle;mso-width-relative:page;mso-height-relative:page;" fillcolor="#FFFFFF [3212]" filled="t" stroked="f" coordsize="21600,21600" o:gfxdata="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LkZFtsAAAALAQAADwAAAAAAAAABACAAAAAiAAAAZHJzL2Rvd25yZXYueG1sUEsBAhQA&#10;FAAAAAgAh07iQHHP8oJhAgAAkgQAAA4AAAAAAAAAAQAgAAAAKg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2405" cy="3728085"/>
            <wp:effectExtent l="0" t="0" r="4445" b="5715"/>
            <wp:docPr id="9" name="图片 9" descr="01-区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1-区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82" w:firstLineChars="200"/>
        <w:jc w:val="center"/>
        <w:textAlignment w:val="auto"/>
        <w:rPr>
          <w:rFonts w:ascii="Times New Roman" w:hAnsi="Times New Roman" w:eastAsia="仿宋_GB2312" w:cs="Times New Roman"/>
          <w:b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4"/>
          <w:szCs w:val="24"/>
        </w:rPr>
        <w:t>项目区位图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t>、规划背景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按照县城总体规划发展要求，发展方向为南扩、西进，下古城片区位于南部新区，属于我县的发展核心区。在2013年启动了控制性详细规划编制工作，没有覆盖该区域。目前，该区域建设用地已转征为建设用地待开发，按照县委、县人民政府安排布置，该地需要统一开发建设，合理安排土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由于控规没有覆盖，2013年版的《新平县城乡规划技术管理规定》难以适应现行发展需要，城市总体规划用地布置，部分旅馆用地、部分R2居住用地和中小学用地(已建)，总体规划用地布局难以满足现在的发展需求，所以县人民政府研究决定启动该片区的控制性详细规划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t>规划目的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为更好推进新平县城市建设，提升城市品质，改善城市形象和人居环境，增强城市公共服务和旅游服务设施功能，增加城市发展建设需求，指导片区建设稳步有序推进，根据《中华人民共和国城乡规划法》、《城市规划编制办法》、《新平县城市总体规划修编（2013-2030）》及国家有关法规和规范，进行新平县下古城片区控制性详细规划的编制工作。本次控制性详细规划在对本区发展进行合理定位的基础上，落实并完善城市总体规划所确定的发展目标，统筹安排土地使用、道路交通、市政设施等控制指标，提出规划建设和管理的控制标准，为规划建设管理和下一步的修建性详细规划提供规划指导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1、规划定位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以商贸服务、文化旅游、休闲居住等混合性功能为主的城市复合型新区中心。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2、功能构成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商务办公、商业零售、文化体验、旅游观光、休闲娱乐、品质居住等六大功能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3、规划结构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规划结合相关理念和片区的整体定位，围绕水系、绿廊和整体环境特点，形成“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一心两轴一基地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”的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规划布局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bookmarkStart w:id="0" w:name="_Toc194316057"/>
      <w:bookmarkStart w:id="1" w:name="_Toc194315747"/>
      <w:bookmarkStart w:id="2" w:name="_Toc195356978"/>
      <w:bookmarkStart w:id="3" w:name="_Toc194316587"/>
      <w:bookmarkStart w:id="4" w:name="_Toc264118330"/>
      <w:bookmarkStart w:id="5" w:name="_Toc223944430"/>
      <w:bookmarkStart w:id="6" w:name="_Toc251522309"/>
      <w:bookmarkStart w:id="7" w:name="_Toc223942815"/>
      <w:bookmarkStart w:id="8" w:name="_Toc251524660"/>
      <w:bookmarkStart w:id="9" w:name="_Toc251522148"/>
      <w:bookmarkStart w:id="10" w:name="_Toc251525468"/>
      <w:bookmarkStart w:id="11" w:name="_Toc446276928"/>
      <w:bookmarkStart w:id="12" w:name="_Toc264194683"/>
      <w:bookmarkStart w:id="13" w:name="_Toc4633"/>
      <w:bookmarkStart w:id="14" w:name="_Toc16092"/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一心</w:t>
      </w:r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bookmarkStart w:id="15" w:name="_Toc446276929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以民俗文化园为核心。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bookmarkStart w:id="16" w:name="_Toc5809"/>
      <w:bookmarkStart w:id="17" w:name="_Toc15427"/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）</w:t>
      </w:r>
      <w:bookmarkEnd w:id="15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两轴</w:t>
      </w:r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规划延续城市总体规划的布局结构，结合用地功能调整，在平甸河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东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侧建设一条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南北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向商业发展轴线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沿线布局购物、酒店、餐饮等城市服务型商业，轴线建设强调城市天际线的勾勒；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沿基地内部向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东西向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延伸，形成片区内的公共服务带。连接溪湖溪湖小镇、新平四小、新平二中，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主要形成城市重要的景观廊道，沿线布局商业、公共服务设施等功能。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通过轴线的建设，可展现新平县现代化商贸城市形象，成为城市对外展示的窗口区域。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bookmarkStart w:id="18" w:name="_Toc446276930"/>
      <w:bookmarkStart w:id="19" w:name="_Toc31584"/>
      <w:bookmarkStart w:id="20" w:name="_Toc22353"/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）</w:t>
      </w:r>
      <w:bookmarkEnd w:id="18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一基地</w:t>
      </w:r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项目基地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。整个片区依托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溪湖公园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，对空间结构进行完善，并加强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与其他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城市片区的联系，吸引人气，驻留人口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4、用地布局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bookmarkStart w:id="21" w:name="_Toc194316071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）居住用地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片区内用地以居住用地为主，居住以二类居住为主，居住用地内部可兼容一定比例的商业。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规划居住用地17144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39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平方米，占片区规划用地的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73.26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%。其中上下古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城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村改造用地36219.78平方米，新增居住用地面积为135221.38平方米。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）公共管理与公共服务设施用地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片区内规划公共管理与公共服务设施用地主要为中小学用地，面积为26786.42平方米，占片区规划用地的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11.45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%，为现状新平四小的扩建用地。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道路与交通设施用地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主要为城市道路用地，面积为28474.91平方米，占片区规划用地的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12.17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（4）留白用地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规划留白用地7307.05平方米，占片区规划用地的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3.12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190500</wp:posOffset>
            </wp:positionV>
            <wp:extent cx="5937885" cy="4199890"/>
            <wp:effectExtent l="0" t="0" r="0" b="0"/>
            <wp:wrapTight wrapText="bothSides">
              <wp:wrapPolygon>
                <wp:start x="0" y="0"/>
                <wp:lineTo x="0" y="21456"/>
                <wp:lineTo x="21551" y="21456"/>
                <wp:lineTo x="21551" y="0"/>
                <wp:lineTo x="0" y="0"/>
              </wp:wrapPolygon>
            </wp:wrapTight>
            <wp:docPr id="10" name="图片 10" descr="E:\00-2018-2019\28-新平下西古城项目\控规\JPG\07-用地规划图.jpg07-用地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00-2018-2019\28-新平下西古城项目\控规\JPG\07-用地规划图.jpg07-用地规划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用地布局规划图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bookmarkStart w:id="22" w:name="_GoBack"/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规划用地统计表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647"/>
        <w:gridCol w:w="835"/>
        <w:gridCol w:w="1160"/>
        <w:gridCol w:w="2536"/>
        <w:gridCol w:w="1259"/>
        <w:gridCol w:w="1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用地代码</w:t>
            </w:r>
          </w:p>
        </w:tc>
        <w:tc>
          <w:tcPr>
            <w:tcW w:w="15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用地名称</w:t>
            </w:r>
          </w:p>
        </w:tc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用地面积（㎡）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占总用地比例（%）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大类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中类        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小类</w:t>
            </w:r>
          </w:p>
        </w:tc>
        <w:tc>
          <w:tcPr>
            <w:tcW w:w="15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171440.39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R2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二类居住用地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171440.39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R21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171440.39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1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公共管理与公共服务设施用地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26786.42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A3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教育科研用地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26786.42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A33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中小学用地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26786.42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S</w:t>
            </w:r>
          </w:p>
        </w:tc>
        <w:tc>
          <w:tcPr>
            <w:tcW w:w="1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  <w:t>道路与交通设施用地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28474.91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S1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道路交通用地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28474.91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1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8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5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留白用地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7307.05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4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总面积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234008.77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指标体系</w:t>
      </w:r>
    </w:p>
    <w:tbl>
      <w:tblPr>
        <w:tblW w:w="89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50"/>
        <w:gridCol w:w="403"/>
        <w:gridCol w:w="956"/>
        <w:gridCol w:w="870"/>
        <w:gridCol w:w="765"/>
        <w:gridCol w:w="477"/>
        <w:gridCol w:w="574"/>
        <w:gridCol w:w="573"/>
        <w:gridCol w:w="580"/>
        <w:gridCol w:w="555"/>
        <w:gridCol w:w="656"/>
        <w:gridCol w:w="701"/>
        <w:gridCol w:w="9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20" w:type="dxa"/>
            <w:gridSpan w:val="14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地块控制指标表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街区</w:t>
            </w:r>
          </w:p>
        </w:tc>
        <w:tc>
          <w:tcPr>
            <w:tcW w:w="4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地块编号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用地代码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用地名称</w:t>
            </w:r>
          </w:p>
        </w:tc>
        <w:tc>
          <w:tcPr>
            <w:tcW w:w="8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用地面积（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 w:eastAsia="zh-CN" w:bidi="ar"/>
              </w:rPr>
              <w:t>㎡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7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容积率</w:t>
            </w:r>
          </w:p>
        </w:tc>
        <w:tc>
          <w:tcPr>
            <w:tcW w:w="4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建筑密度（%)</w:t>
            </w:r>
          </w:p>
        </w:tc>
        <w:tc>
          <w:tcPr>
            <w:tcW w:w="5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建筑限高（m）</w:t>
            </w:r>
          </w:p>
        </w:tc>
        <w:tc>
          <w:tcPr>
            <w:tcW w:w="5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绿地率（%)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建筑退让（m）</w:t>
            </w:r>
          </w:p>
        </w:tc>
        <w:tc>
          <w:tcPr>
            <w:tcW w:w="5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交通出入口</w:t>
            </w: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机动车停车位</w:t>
            </w:r>
          </w:p>
        </w:tc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非机动车停车位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备注（平均层数）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（住宅：车位/户;教育设施：车位/100学生；</w:t>
            </w: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A-01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二类居住用地(保留）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4722.87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3、8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A-02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二类居住用地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25725.4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1.0-1.2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3、5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N/S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低层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（1-3层）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A-03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二类居住用地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11822.35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1.3-1.6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≤27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3、8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N/W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多层Ⅰ类（4-6层）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A-04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二类居住用地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12072.76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1.3-1.6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≤27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3、8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E/N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多层Ⅰ类（4-6层）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A-05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二类居住用地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50768.48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1.0-1.2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3、5、8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N/W/S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低层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（1-3层）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A-06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二类居住用地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30196.74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1.0-1.2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≤43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≥25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3、5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N/W/E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低层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（1-3层）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A-07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二类居住用地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9548.75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1.7-2.1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3、5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W/S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多层Ⅱ类（7-9层）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A-08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二类居住用地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12309.02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1.3-1.6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≤27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3、5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S/E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多层Ⅰ类（4-6层）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A-09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留白用地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7307.05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N/W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A-10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二类居住用地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14274.02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1.3-1.6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≤27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3、5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W/S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多层Ⅰ类（4-6层）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A-11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中小学用地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26786.42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≤24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≥35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3、8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N/S/E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四、片区控规图则</w:t>
      </w:r>
    </w:p>
    <w:p>
      <w:pPr>
        <w:numPr>
          <w:ilvl w:val="0"/>
          <w:numId w:val="0"/>
        </w:numPr>
        <w:spacing w:line="560" w:lineRule="exact"/>
        <w:ind w:leftChars="200"/>
        <w:rPr>
          <w:color w:val="auto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92710</wp:posOffset>
            </wp:positionV>
            <wp:extent cx="6270625" cy="4552315"/>
            <wp:effectExtent l="0" t="0" r="15875" b="635"/>
            <wp:wrapTight wrapText="bothSides">
              <wp:wrapPolygon>
                <wp:start x="0" y="0"/>
                <wp:lineTo x="0" y="21513"/>
                <wp:lineTo x="21523" y="21513"/>
                <wp:lineTo x="21523" y="0"/>
                <wp:lineTo x="0" y="0"/>
              </wp:wrapPolygon>
            </wp:wrapTight>
            <wp:docPr id="11" name="图片 11" descr="E:\00-2018-2019\28-新平下西古城项目\控规\JPG\23-图则.jpg23-图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00-2018-2019\28-新平下西古城项目\控规\JPG\23-图则.jpg23-图则"/>
                    <pic:cNvPicPr>
                      <a:picLocks noChangeAspect="1"/>
                    </pic:cNvPicPr>
                  </pic:nvPicPr>
                  <pic:blipFill>
                    <a:blip r:embed="rId7"/>
                    <a:srcRect l="2554"/>
                    <a:stretch>
                      <a:fillRect/>
                    </a:stretch>
                  </pic:blipFill>
                  <pic:spPr>
                    <a:xfrm>
                      <a:off x="0" y="0"/>
                      <a:ext cx="6270625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CF"/>
    <w:rsid w:val="00117D5D"/>
    <w:rsid w:val="00132AB5"/>
    <w:rsid w:val="002333CA"/>
    <w:rsid w:val="003871DB"/>
    <w:rsid w:val="004A68CF"/>
    <w:rsid w:val="005719F5"/>
    <w:rsid w:val="0068639F"/>
    <w:rsid w:val="00687589"/>
    <w:rsid w:val="00721799"/>
    <w:rsid w:val="007E3C73"/>
    <w:rsid w:val="0090451D"/>
    <w:rsid w:val="00941EF9"/>
    <w:rsid w:val="009B70BC"/>
    <w:rsid w:val="00A06303"/>
    <w:rsid w:val="00DA6C4E"/>
    <w:rsid w:val="00DE618F"/>
    <w:rsid w:val="00E232D0"/>
    <w:rsid w:val="04C40D70"/>
    <w:rsid w:val="05FD1489"/>
    <w:rsid w:val="0B4E3288"/>
    <w:rsid w:val="0D773CB5"/>
    <w:rsid w:val="118D33DF"/>
    <w:rsid w:val="14751FD5"/>
    <w:rsid w:val="17D31489"/>
    <w:rsid w:val="18225958"/>
    <w:rsid w:val="2C7A7133"/>
    <w:rsid w:val="30EC5FDF"/>
    <w:rsid w:val="322D77FF"/>
    <w:rsid w:val="39B94908"/>
    <w:rsid w:val="47CA5582"/>
    <w:rsid w:val="4B860AAD"/>
    <w:rsid w:val="54FB564C"/>
    <w:rsid w:val="59E557A6"/>
    <w:rsid w:val="5ADB1373"/>
    <w:rsid w:val="600D28C4"/>
    <w:rsid w:val="671A4645"/>
    <w:rsid w:val="69575900"/>
    <w:rsid w:val="72150760"/>
    <w:rsid w:val="72845F48"/>
    <w:rsid w:val="7457453D"/>
    <w:rsid w:val="7B07207F"/>
    <w:rsid w:val="7C322F94"/>
    <w:rsid w:val="7F0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link w:val="8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 Char Char Char Char Char Char Char Char Char Char1"/>
    <w:basedOn w:val="1"/>
    <w:link w:val="7"/>
    <w:qFormat/>
    <w:uiPriority w:val="0"/>
    <w:pPr>
      <w:tabs>
        <w:tab w:val="left" w:pos="425"/>
      </w:tabs>
      <w:ind w:left="425" w:hanging="425"/>
    </w:p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样式 小四"/>
    <w:basedOn w:val="7"/>
    <w:qFormat/>
    <w:uiPriority w:val="0"/>
    <w:rPr>
      <w:rFonts w:eastAsia="宋体"/>
      <w:spacing w:val="2"/>
      <w:sz w:val="24"/>
      <w:szCs w:val="24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11"/>
    <w:basedOn w:val="7"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214</Words>
  <Characters>1226</Characters>
  <Lines>10</Lines>
  <Paragraphs>2</Paragraphs>
  <TotalTime>4</TotalTime>
  <ScaleCrop>false</ScaleCrop>
  <LinksUpToDate>false</LinksUpToDate>
  <CharactersWithSpaces>1438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2019-07-18T02:03:00Z</dcterms:created>
  <dc:creator>User</dc:creator>
  <cp:lastModifiedBy>红色高跟鞋</cp:lastModifiedBy>
  <cp:lastPrinted>2020-07-07T01:20:00Z</cp:lastPrinted>
  <dcterms:modified xsi:type="dcterms:W3CDTF">2020-08-27T07:55:45Z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