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beforeAutospacing="0"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县退役军人事务局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2020年政府信息公开工作年度报告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napToGrid w:val="0"/>
        <w:spacing w:line="590" w:lineRule="exact"/>
        <w:ind w:firstLine="752" w:firstLineChars="23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按照相关文件精神要求，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结合我局工作实际，现就20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新平县退役军人事务局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政府信息与政务公开工作落实情况汇报如下：</w:t>
      </w:r>
    </w:p>
    <w:p>
      <w:pPr>
        <w:widowControl/>
        <w:numPr>
          <w:ilvl w:val="0"/>
          <w:numId w:val="0"/>
        </w:numPr>
        <w:adjustRightInd w:val="0"/>
        <w:snapToGrid w:val="0"/>
        <w:spacing w:line="590" w:lineRule="exact"/>
        <w:ind w:firstLine="640" w:firstLineChars="200"/>
        <w:jc w:val="left"/>
        <w:rPr>
          <w:rFonts w:hint="eastAsia" w:ascii="黑体" w:hAnsi="黑体" w:eastAsia="黑体" w:cs="黑体"/>
          <w:color w:val="232323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232323"/>
          <w:kern w:val="0"/>
          <w:sz w:val="32"/>
          <w:szCs w:val="32"/>
          <w:lang w:val="zh-CN"/>
        </w:rPr>
        <w:t>（一）高度重视，加强领导</w:t>
      </w:r>
      <w:r>
        <w:rPr>
          <w:rFonts w:hint="eastAsia" w:ascii="黑体" w:hAnsi="黑体" w:eastAsia="黑体" w:cs="黑体"/>
          <w:color w:val="232323"/>
          <w:kern w:val="0"/>
          <w:sz w:val="32"/>
          <w:szCs w:val="32"/>
          <w:lang w:val="en-US" w:eastAsia="zh-CN"/>
        </w:rPr>
        <w:t xml:space="preserve">                               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232323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232323"/>
          <w:kern w:val="0"/>
          <w:sz w:val="32"/>
          <w:szCs w:val="32"/>
          <w:lang w:val="zh-CN"/>
        </w:rPr>
        <w:t>为切实抓好政务公开政府信息公开工作，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我局按照从强化组织领导入手，狠抓政务公开组织体系的建设。我局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政府信息与政务公开工作</w:t>
      </w:r>
      <w:r>
        <w:rPr>
          <w:rFonts w:hint="eastAsia" w:ascii="方正仿宋_GBK" w:hAnsi="方正仿宋_GBK" w:eastAsia="方正仿宋_GBK" w:cs="方正仿宋_GBK"/>
          <w:color w:val="232323"/>
          <w:kern w:val="0"/>
          <w:sz w:val="32"/>
          <w:szCs w:val="32"/>
          <w:lang w:val="zh-CN"/>
        </w:rPr>
        <w:t>做到了领导重视、机构健全、细化分工、责任到人，为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政府信息与政务公开</w:t>
      </w:r>
      <w:r>
        <w:rPr>
          <w:rFonts w:hint="eastAsia" w:ascii="方正仿宋_GBK" w:hAnsi="方正仿宋_GBK" w:eastAsia="方正仿宋_GBK" w:cs="方正仿宋_GBK"/>
          <w:color w:val="232323"/>
          <w:kern w:val="0"/>
          <w:sz w:val="32"/>
          <w:szCs w:val="32"/>
          <w:lang w:val="zh-CN"/>
        </w:rPr>
        <w:t>工作的顺利开展提供了有力保障。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90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color w:val="232323"/>
          <w:kern w:val="0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color w:val="232323"/>
          <w:kern w:val="0"/>
          <w:sz w:val="32"/>
          <w:szCs w:val="32"/>
          <w:lang w:val="zh-CN"/>
        </w:rPr>
        <w:t>（二）认真学习，强化落实</w:t>
      </w:r>
    </w:p>
    <w:p>
      <w:pPr>
        <w:widowControl/>
        <w:adjustRightInd w:val="0"/>
        <w:snapToGrid w:val="0"/>
        <w:spacing w:line="59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color w:val="23232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232323"/>
          <w:kern w:val="0"/>
          <w:sz w:val="32"/>
          <w:szCs w:val="32"/>
          <w:lang w:val="zh-CN"/>
        </w:rPr>
        <w:t>积极参加省市县组织的政府信息与政务公开工作培训，认真学习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《中华人民共和国政府信息公开条例》和《云南省政府信息公开规定》等</w:t>
      </w:r>
      <w:r>
        <w:rPr>
          <w:rFonts w:hint="eastAsia" w:ascii="方正仿宋_GBK" w:hAnsi="方正仿宋_GBK" w:eastAsia="方正仿宋_GBK" w:cs="方正仿宋_GBK"/>
          <w:color w:val="232323"/>
          <w:kern w:val="0"/>
          <w:sz w:val="32"/>
          <w:szCs w:val="32"/>
          <w:lang w:val="zh-CN"/>
        </w:rPr>
        <w:t>相关文件，全面提升政务公开意识和业务水平。按照县委、县政府相关要求，向社会主动公开，保证群众的知情权和监督权。</w:t>
      </w:r>
      <w:r>
        <w:rPr>
          <w:rFonts w:hint="eastAsia" w:ascii="方正仿宋_GBK" w:hAnsi="方正仿宋_GBK" w:eastAsia="方正仿宋_GBK" w:cs="方正仿宋_GBK"/>
          <w:color w:val="232323"/>
          <w:kern w:val="0"/>
          <w:sz w:val="32"/>
          <w:szCs w:val="32"/>
          <w:lang w:val="en-US" w:eastAsia="zh-CN"/>
        </w:rPr>
        <w:t xml:space="preserve">       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90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color w:val="232323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232323"/>
          <w:kern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color w:val="232323"/>
          <w:kern w:val="0"/>
          <w:sz w:val="32"/>
          <w:szCs w:val="32"/>
        </w:rPr>
        <w:t>规范程序，有序推进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9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23232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32323"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232323"/>
          <w:kern w:val="0"/>
          <w:sz w:val="32"/>
          <w:szCs w:val="32"/>
          <w:lang w:val="zh-CN"/>
        </w:rPr>
        <w:t>建章立制，规范公开。2</w:t>
      </w:r>
      <w:r>
        <w:rPr>
          <w:rFonts w:hint="eastAsia" w:ascii="方正仿宋_GBK" w:hAnsi="方正仿宋_GBK" w:eastAsia="方正仿宋_GBK" w:cs="方正仿宋_GBK"/>
          <w:color w:val="232323"/>
          <w:kern w:val="0"/>
          <w:sz w:val="32"/>
          <w:szCs w:val="32"/>
          <w:lang w:val="en-US" w:eastAsia="zh-CN"/>
        </w:rPr>
        <w:t>020</w:t>
      </w:r>
      <w:r>
        <w:rPr>
          <w:rFonts w:hint="eastAsia" w:ascii="方正仿宋_GBK" w:hAnsi="方正仿宋_GBK" w:eastAsia="方正仿宋_GBK" w:cs="方正仿宋_GBK"/>
          <w:color w:val="232323"/>
          <w:kern w:val="0"/>
          <w:sz w:val="32"/>
          <w:szCs w:val="32"/>
          <w:lang w:val="zh-CN"/>
        </w:rPr>
        <w:t>年，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我局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对信息公开内容和工作范围进行了认真研究，规范信息公开的重点内容，严格按照规定的公开类别、公开时间和公开程序要求，主动公开，有序推进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坚持“公开、便民”原则，</w:t>
      </w:r>
      <w:r>
        <w:rPr>
          <w:rFonts w:hint="eastAsia" w:ascii="方正仿宋_GBK" w:hAnsi="方正仿宋_GBK" w:eastAsia="方正仿宋_GBK" w:cs="方正仿宋_GBK"/>
          <w:color w:val="232323"/>
          <w:kern w:val="0"/>
          <w:sz w:val="32"/>
          <w:szCs w:val="32"/>
        </w:rPr>
        <w:t>及时公开工作情况、</w:t>
      </w:r>
      <w:r>
        <w:rPr>
          <w:rFonts w:hint="eastAsia" w:ascii="方正仿宋_GBK" w:hAnsi="方正仿宋_GBK" w:eastAsia="方正仿宋_GBK" w:cs="方正仿宋_GBK"/>
          <w:color w:val="232323"/>
          <w:kern w:val="0"/>
          <w:sz w:val="32"/>
          <w:szCs w:val="32"/>
          <w:lang w:eastAsia="zh-CN"/>
        </w:rPr>
        <w:t>通知公告、政策文件及解读</w:t>
      </w:r>
      <w:r>
        <w:rPr>
          <w:rFonts w:hint="eastAsia" w:ascii="方正仿宋_GBK" w:hAnsi="方正仿宋_GBK" w:eastAsia="方正仿宋_GBK" w:cs="方正仿宋_GBK"/>
          <w:color w:val="232323"/>
          <w:kern w:val="0"/>
          <w:sz w:val="32"/>
          <w:szCs w:val="32"/>
        </w:rPr>
        <w:t>和</w:t>
      </w:r>
      <w:r>
        <w:rPr>
          <w:rFonts w:hint="eastAsia" w:ascii="方正仿宋_GBK" w:hAnsi="方正仿宋_GBK" w:eastAsia="方正仿宋_GBK" w:cs="方正仿宋_GBK"/>
          <w:color w:val="232323"/>
          <w:kern w:val="0"/>
          <w:sz w:val="32"/>
          <w:szCs w:val="32"/>
          <w:lang w:eastAsia="zh-CN"/>
        </w:rPr>
        <w:t>预决算</w:t>
      </w:r>
      <w:r>
        <w:rPr>
          <w:rFonts w:hint="eastAsia" w:ascii="方正仿宋_GBK" w:hAnsi="方正仿宋_GBK" w:eastAsia="方正仿宋_GBK" w:cs="方正仿宋_GBK"/>
          <w:color w:val="232323"/>
          <w:kern w:val="0"/>
          <w:sz w:val="32"/>
          <w:szCs w:val="32"/>
        </w:rPr>
        <w:t>等政务信息。在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>新平县政府信息公开门户网站http://xxgk.yuxi.gov.cn/xpxzfxxgk/xpxtyjrswj1409/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  <w:lang w:eastAsia="zh-CN"/>
        </w:rPr>
        <w:t>公开</w:t>
      </w:r>
      <w:r>
        <w:rPr>
          <w:rFonts w:hint="eastAsia" w:ascii="方正仿宋_GBK" w:hAnsi="方正仿宋_GBK" w:eastAsia="方正仿宋_GBK" w:cs="方正仿宋_GBK"/>
          <w:color w:val="232323"/>
          <w:kern w:val="0"/>
          <w:sz w:val="32"/>
          <w:szCs w:val="32"/>
        </w:rPr>
        <w:t>我局网站上进行相关信息的公开公示。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9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232323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232323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楷体_GBK" w:hAnsi="方正楷体_GBK" w:eastAsia="方正楷体_GBK" w:cs="方正楷体_GBK"/>
          <w:color w:val="232323"/>
          <w:kern w:val="0"/>
          <w:sz w:val="32"/>
          <w:szCs w:val="32"/>
        </w:rPr>
        <w:t>强化监管，保证安全。</w:t>
      </w:r>
      <w:r>
        <w:rPr>
          <w:rFonts w:hint="eastAsia" w:ascii="方正仿宋_GBK" w:hAnsi="方正仿宋_GBK" w:eastAsia="方正仿宋_GBK" w:cs="方正仿宋_GBK"/>
          <w:color w:val="232323"/>
          <w:kern w:val="0"/>
          <w:sz w:val="32"/>
          <w:szCs w:val="32"/>
        </w:rPr>
        <w:t>加强监督和管理我局网上信息的保密，对现有电子政务内网、互联网和环保专网的电脑进行实名登记，定时升级杀毒软件，</w:t>
      </w:r>
      <w:r>
        <w:rPr>
          <w:rFonts w:hint="eastAsia" w:ascii="宋体" w:hAnsi="宋体" w:eastAsia="方正仿宋_GBK"/>
          <w:sz w:val="32"/>
          <w:szCs w:val="32"/>
        </w:rPr>
        <w:t>推进使用正版软件工作，</w:t>
      </w:r>
      <w:r>
        <w:rPr>
          <w:rFonts w:hint="eastAsia" w:ascii="方正仿宋_GBK" w:hAnsi="方正仿宋_GBK" w:eastAsia="方正仿宋_GBK" w:cs="方正仿宋_GBK"/>
          <w:color w:val="232323"/>
          <w:kern w:val="0"/>
          <w:sz w:val="32"/>
          <w:szCs w:val="32"/>
        </w:rPr>
        <w:t>保障网络畅通，保证信息安全，防患于未然。制定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政府信息与政务公开</w:t>
      </w:r>
      <w:r>
        <w:rPr>
          <w:rFonts w:hint="eastAsia" w:ascii="方正仿宋_GBK" w:hAnsi="方正仿宋_GBK" w:eastAsia="方正仿宋_GBK" w:cs="方正仿宋_GBK"/>
          <w:color w:val="232323"/>
          <w:kern w:val="0"/>
          <w:sz w:val="32"/>
          <w:szCs w:val="32"/>
        </w:rPr>
        <w:t>保密审查制度，确保公开信息安全。通过抓细、抓小、抓实，各项制度贯穿于信息公开的全过程，使政务公开工作不断规范，确保安全。</w:t>
      </w:r>
    </w:p>
    <w:p>
      <w:pPr>
        <w:snapToGrid w:val="0"/>
        <w:spacing w:line="590" w:lineRule="exact"/>
        <w:ind w:firstLine="752" w:firstLineChars="235"/>
        <w:rPr>
          <w:rFonts w:hint="eastAsia" w:ascii="黑体" w:hAnsi="黑体" w:eastAsia="黑体" w:cs="黑体"/>
          <w:color w:val="232323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232323"/>
          <w:kern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232323"/>
          <w:kern w:val="0"/>
          <w:sz w:val="32"/>
          <w:szCs w:val="32"/>
        </w:rPr>
        <w:t>四</w:t>
      </w:r>
      <w:r>
        <w:rPr>
          <w:rFonts w:hint="eastAsia" w:ascii="方正楷体_GBK" w:hAnsi="方正楷体_GBK" w:eastAsia="方正楷体_GBK" w:cs="方正楷体_GBK"/>
          <w:color w:val="232323"/>
          <w:kern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232323"/>
          <w:kern w:val="0"/>
          <w:sz w:val="32"/>
          <w:szCs w:val="32"/>
        </w:rPr>
        <w:t>突出重点，主动公开</w:t>
      </w:r>
    </w:p>
    <w:p>
      <w:pPr>
        <w:snapToGrid w:val="0"/>
        <w:spacing w:line="590" w:lineRule="exact"/>
        <w:ind w:firstLine="752" w:firstLineChars="235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政务公开推进过程中，讲求实效，突出重点，主动公开，按照县委、县政府的要求，根据我局的实际，在公开基本内容的基础上，重点公开与群众切身利益密切相关的事项，以及群众最关心、社会最敏感、反映最强烈的热点问题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截至2020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全年累计公开信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1963"/>
        <w:gridCol w:w="5"/>
        <w:gridCol w:w="1326"/>
        <w:gridCol w:w="1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制作数量</w:t>
            </w:r>
          </w:p>
        </w:tc>
        <w:tc>
          <w:tcPr>
            <w:tcW w:w="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公开数量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</w:rPr>
              <w:t>行政许可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其他对外管理服务事项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</w:rPr>
              <w:t>行政处罚</w:t>
            </w: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</w:rPr>
              <w:t>行政强制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9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9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采购项目数量</w:t>
            </w:r>
          </w:p>
        </w:tc>
        <w:tc>
          <w:tcPr>
            <w:tcW w:w="19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政府集中采购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9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325"/>
        <w:gridCol w:w="630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三、本年度办理结果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（一）予以公开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（三）不予公开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属于国家秘密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其他法律行政法规禁止公开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危及“三安全一稳定”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保护第三方合法权益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属于三类内部事务信息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</w:rPr>
              <w:t>属于四类过程性信息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tLeas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</w:rPr>
              <w:t>属于行政执法案卷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</w:rPr>
              <w:t>属于行政查询事项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（四）无法提供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本机关不掌握相关政府信息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没有现成信息需要另行制作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补正后申请内容仍不明确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（五）不予处理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信访举报投诉类申请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要求提供公开出版物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无正当理由大量反复申请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要求行政机关确认或重新出具已获取信息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（六）其他处理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（七）总计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四、结转下年度继续办理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adjustRightInd w:val="0"/>
        <w:snapToGrid w:val="0"/>
        <w:spacing w:beforeAutospacing="0" w:afterAutospacing="0" w:line="58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snapToGrid w:val="0"/>
        <w:spacing w:line="590" w:lineRule="exact"/>
        <w:ind w:firstLine="592" w:firstLineChars="1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一年来，我局政务信息公开工作虽然取得了一定成绩，但与新形势、新任务对政务信息公开工作的要求相比，我们的工作仍然存在一定的困难和问题，通过认真分析，主要存在以下方面不足:</w:t>
      </w:r>
    </w:p>
    <w:p>
      <w:pPr>
        <w:snapToGrid w:val="0"/>
        <w:spacing w:line="590" w:lineRule="exact"/>
        <w:ind w:firstLine="592" w:firstLineChars="18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一是信息上报工作及时性不够，信息在网站上公开发布的时效性有待提高。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是政务信息质量不理想，信息的质量仍有待进一步提高。</w:t>
      </w:r>
    </w:p>
    <w:p>
      <w:pPr>
        <w:pStyle w:val="2"/>
        <w:widowControl/>
        <w:adjustRightInd w:val="0"/>
        <w:snapToGrid w:val="0"/>
        <w:spacing w:beforeAutospacing="0" w:afterAutospacing="0"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pStyle w:val="2"/>
        <w:widowControl/>
        <w:adjustRightInd w:val="0"/>
        <w:snapToGrid w:val="0"/>
        <w:spacing w:beforeAutospacing="0" w:afterAutospacing="0"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37E3A"/>
    <w:rsid w:val="08A165F7"/>
    <w:rsid w:val="13E0469B"/>
    <w:rsid w:val="19190B2D"/>
    <w:rsid w:val="1BCB6B3B"/>
    <w:rsid w:val="282B6664"/>
    <w:rsid w:val="29A540A3"/>
    <w:rsid w:val="310275CA"/>
    <w:rsid w:val="512F7EDB"/>
    <w:rsid w:val="5C9B1DF7"/>
    <w:rsid w:val="661A314E"/>
    <w:rsid w:val="709F1038"/>
    <w:rsid w:val="7ED3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2021-01-28T01:50:00Z</dcterms:created>
  <dc:creator>WPS_1547773883</dc:creator>
  <cp:lastModifiedBy>WPS_1547773883</cp:lastModifiedBy>
  <dcterms:modified xsi:type="dcterms:W3CDTF">2021-01-28T02:04:55Z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