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right="368" w:firstLine="0"/>
        <w:jc w:val="center"/>
        <w:rPr>
          <w:rFonts w:hint="eastAsia" w:ascii="方正小标宋_GBK" w:eastAsia="方正小标宋_GBK"/>
          <w:b/>
          <w:sz w:val="52"/>
        </w:rPr>
      </w:pPr>
      <w:r>
        <w:rPr>
          <w:rFonts w:hint="eastAsia" w:ascii="方正小标宋_GBK" w:eastAsia="方正小标宋_GBK"/>
          <w:b/>
          <w:color w:val="FF0000"/>
          <w:w w:val="95"/>
          <w:sz w:val="52"/>
        </w:rPr>
        <w:t>新平县全国电子商务进农村示范项目</w:t>
      </w:r>
    </w:p>
    <w:p>
      <w:pPr>
        <w:tabs>
          <w:tab w:val="left" w:pos="2858"/>
        </w:tabs>
        <w:spacing w:before="0" w:line="1958" w:lineRule="exact"/>
        <w:ind w:left="0" w:right="392" w:firstLine="0"/>
        <w:jc w:val="center"/>
        <w:rPr>
          <w:rFonts w:hint="eastAsia" w:ascii="方正小标宋_GBK" w:eastAsia="方正小标宋_GBK"/>
          <w:b/>
          <w:sz w:val="112"/>
        </w:rPr>
      </w:pPr>
      <w:r>
        <w:rPr>
          <w:rFonts w:hint="eastAsia" w:ascii="方正小标宋_GBK" w:eastAsia="方正小标宋_GBK"/>
          <w:b/>
          <w:color w:val="FF0000"/>
          <w:w w:val="95"/>
          <w:sz w:val="112"/>
        </w:rPr>
        <w:t>周</w:t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ab/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>报</w:t>
      </w:r>
    </w:p>
    <w:p>
      <w:pPr>
        <w:pStyle w:val="5"/>
        <w:rPr>
          <w:rFonts w:ascii="方正小标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default" w:ascii="Times New Roman" w:hAnsi="Times New Roman" w:eastAsia="楷体" w:cs="Times New Roman"/>
          <w:b/>
          <w:color w:val="000007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color w:val="000007"/>
          <w:spacing w:val="-6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color w:val="000007"/>
          <w:spacing w:val="-6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</w:rPr>
        <w:tab/>
      </w:r>
      <w:r>
        <w:rPr>
          <w:rFonts w:hint="eastAsia" w:ascii="楷体" w:hAnsi="楷体" w:eastAsia="楷体" w:cs="楷体"/>
          <w:b/>
          <w:color w:val="000007"/>
          <w:spacing w:val="-13"/>
          <w:sz w:val="28"/>
        </w:rPr>
        <w:t>第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color w:val="000007"/>
          <w:sz w:val="28"/>
        </w:rPr>
        <w:t>期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楷体" w:cs="Times New Roman"/>
          <w:b/>
          <w:color w:val="00000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color w:val="000007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16</w:t>
      </w:r>
      <w:r>
        <w:rPr>
          <w:rFonts w:hint="eastAsia" w:ascii="楷体" w:hAnsi="楷体" w:eastAsia="楷体" w:cs="楷体"/>
          <w:b/>
          <w:color w:val="000007"/>
          <w:sz w:val="28"/>
        </w:rPr>
        <w:t>日</w:t>
      </w:r>
    </w:p>
    <w:p>
      <w:pPr>
        <w:pStyle w:val="5"/>
        <w:spacing w:before="16"/>
        <w:rPr>
          <w:rFonts w:ascii="Microsoft JhengHei"/>
          <w:b/>
          <w:sz w:val="21"/>
          <w:szCs w:val="21"/>
        </w:rPr>
      </w:pPr>
      <w:r>
        <w:rPr>
          <w:rFonts w:hint="eastAsia" w:ascii="楷体" w:hAnsi="楷体" w:eastAsia="楷体" w:cs="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59264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Qerw1wAAAAgBAAAPAAAAAAAAAAEAIAAAACIAAABkcnMvZG93bnJldi54bWxQ&#10;SwECFAAUAAAACACHTuJAzETpTPgBAADl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一、工作进展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农村电子商务公共服务体系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.公共服务中心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运营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本周共接待来访人员51人次，来访事由包括产品对接、参观学习、业务咨询办理等。其中，直播达人曲靖老村长到中心直播推荐新平产品。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2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.乡镇、村电子商务（物流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）服务站点建设。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站点广告机日常开机情况统计，督促站点广告机没有开机的开启广告机。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3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.农产品供应链体系。</w:t>
      </w:r>
    </w:p>
    <w:p>
      <w:pPr>
        <w:ind w:firstLine="628" w:firstLineChars="200"/>
        <w:jc w:val="left"/>
        <w:rPr>
          <w:rFonts w:hint="default" w:ascii="仿宋" w:hAnsi="仿宋" w:eastAsia="仿宋" w:cs="仿宋"/>
          <w:bCs w:val="0"/>
          <w:spacing w:val="2"/>
          <w:kern w:val="0"/>
          <w:sz w:val="31"/>
          <w:szCs w:val="31"/>
          <w:lang w:val="en-US" w:eastAsia="zh-CN" w:bidi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云仓中心正常运营，工业品下行配送车辆车身广告宣传已安装。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（二）县、乡、村三级物流共同配送体系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960" w:firstLineChars="300"/>
        <w:textAlignment w:val="auto"/>
        <w:rPr>
          <w:rFonts w:hint="eastAsia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本周进港件：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17</w:t>
      </w:r>
      <w:r>
        <w:rPr>
          <w:rFonts w:hint="eastAsia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农村电子商务培训体系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220" w:leftChars="10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目前已完成培训共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2150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人次。</w:t>
      </w:r>
      <w:r>
        <w:rPr>
          <w:rFonts w:hint="eastAsia" w:ascii="方正仿宋_GBK" w:hAnsi="方正仿宋_GBK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拟定6月份培训计划。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快递物流下沉到村级站点没有完全覆盖，第三方服务商业务下沉不到位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color w:val="auto"/>
          <w:highlight w:val="none"/>
          <w:lang w:val="en-US" w:eastAsia="zh-CN"/>
        </w:rPr>
        <w:t>三、下周工作计划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1.</w:t>
      </w:r>
      <w:r>
        <w:rPr>
          <w:rFonts w:hint="eastAsia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举办《新平县与“粽”不同 618全民消费购物节》活动。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zh-CN"/>
        </w:rPr>
        <w:t>20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年度电子商务进农村综合示范绩效评价</w:t>
      </w:r>
      <w:r>
        <w:rPr>
          <w:rFonts w:hint="eastAsia" w:ascii="Times New Roman" w:hAnsi="Times New Roman" w:cs="Times New Roman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迎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检准备工作。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default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  <w:t>4.根据618购物节下单情况，安排好产品出库和配送，确保订单无遗漏，做好售后服务工作。</w:t>
      </w:r>
    </w:p>
    <w:sectPr>
      <w:footerReference r:id="rId5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F2055"/>
    <w:multiLevelType w:val="singleLevel"/>
    <w:tmpl w:val="C26F205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C6BA803A"/>
    <w:rsid w:val="00BF3242"/>
    <w:rsid w:val="01042CD0"/>
    <w:rsid w:val="0194077A"/>
    <w:rsid w:val="033929EA"/>
    <w:rsid w:val="038E26A7"/>
    <w:rsid w:val="0400190A"/>
    <w:rsid w:val="040807DF"/>
    <w:rsid w:val="04C66C1A"/>
    <w:rsid w:val="057E6825"/>
    <w:rsid w:val="05BB79B0"/>
    <w:rsid w:val="067C50E0"/>
    <w:rsid w:val="06D53145"/>
    <w:rsid w:val="06ED4932"/>
    <w:rsid w:val="07650651"/>
    <w:rsid w:val="07EE127D"/>
    <w:rsid w:val="08047AC2"/>
    <w:rsid w:val="081128A2"/>
    <w:rsid w:val="081B727D"/>
    <w:rsid w:val="081D5851"/>
    <w:rsid w:val="08243BF8"/>
    <w:rsid w:val="08457D38"/>
    <w:rsid w:val="08952D65"/>
    <w:rsid w:val="08CC67C9"/>
    <w:rsid w:val="093700E7"/>
    <w:rsid w:val="0A5C1DEE"/>
    <w:rsid w:val="0AD56363"/>
    <w:rsid w:val="0B08552B"/>
    <w:rsid w:val="0B253ED3"/>
    <w:rsid w:val="0D2C7836"/>
    <w:rsid w:val="0D503D9A"/>
    <w:rsid w:val="0D572CEE"/>
    <w:rsid w:val="0DDA3736"/>
    <w:rsid w:val="0DF814C0"/>
    <w:rsid w:val="0EF07777"/>
    <w:rsid w:val="0F3A26DF"/>
    <w:rsid w:val="0FF3288D"/>
    <w:rsid w:val="0FFE3138"/>
    <w:rsid w:val="106175AC"/>
    <w:rsid w:val="11182FFA"/>
    <w:rsid w:val="11367771"/>
    <w:rsid w:val="11736191"/>
    <w:rsid w:val="11F46999"/>
    <w:rsid w:val="12475B5A"/>
    <w:rsid w:val="12F52377"/>
    <w:rsid w:val="138A0543"/>
    <w:rsid w:val="1442132A"/>
    <w:rsid w:val="149E4CAA"/>
    <w:rsid w:val="15875F52"/>
    <w:rsid w:val="15FE0B73"/>
    <w:rsid w:val="16583A87"/>
    <w:rsid w:val="16855EC1"/>
    <w:rsid w:val="16AF3382"/>
    <w:rsid w:val="190B0C48"/>
    <w:rsid w:val="196565AA"/>
    <w:rsid w:val="19671673"/>
    <w:rsid w:val="1A0F29BA"/>
    <w:rsid w:val="1A9C249F"/>
    <w:rsid w:val="1AB1295B"/>
    <w:rsid w:val="1AF64548"/>
    <w:rsid w:val="1C7D0979"/>
    <w:rsid w:val="1CBB4733"/>
    <w:rsid w:val="1DEA3522"/>
    <w:rsid w:val="1E8A6AB3"/>
    <w:rsid w:val="1EDB10BC"/>
    <w:rsid w:val="1EE52CE9"/>
    <w:rsid w:val="209B6D55"/>
    <w:rsid w:val="20DA39C5"/>
    <w:rsid w:val="220821C8"/>
    <w:rsid w:val="23487887"/>
    <w:rsid w:val="247578BD"/>
    <w:rsid w:val="24BB79C6"/>
    <w:rsid w:val="24FD7FDE"/>
    <w:rsid w:val="256414D8"/>
    <w:rsid w:val="25E46AA9"/>
    <w:rsid w:val="26795424"/>
    <w:rsid w:val="2758695C"/>
    <w:rsid w:val="27870CB7"/>
    <w:rsid w:val="279D1446"/>
    <w:rsid w:val="2A7C5F03"/>
    <w:rsid w:val="2A8CEB4D"/>
    <w:rsid w:val="2AEF332D"/>
    <w:rsid w:val="2BB35439"/>
    <w:rsid w:val="2C8D0C69"/>
    <w:rsid w:val="2CCD0296"/>
    <w:rsid w:val="2CE97C55"/>
    <w:rsid w:val="2D031F0A"/>
    <w:rsid w:val="2D205A01"/>
    <w:rsid w:val="2D4A45DC"/>
    <w:rsid w:val="2D6B142E"/>
    <w:rsid w:val="2DAF3E40"/>
    <w:rsid w:val="2DC209F1"/>
    <w:rsid w:val="2F320885"/>
    <w:rsid w:val="2F61316F"/>
    <w:rsid w:val="2FA200FA"/>
    <w:rsid w:val="2FA379D4"/>
    <w:rsid w:val="30F30FF0"/>
    <w:rsid w:val="30F97AE5"/>
    <w:rsid w:val="322070BA"/>
    <w:rsid w:val="32D85A3C"/>
    <w:rsid w:val="33733ACF"/>
    <w:rsid w:val="33D31231"/>
    <w:rsid w:val="33F702EF"/>
    <w:rsid w:val="35CA32B4"/>
    <w:rsid w:val="36B62E54"/>
    <w:rsid w:val="376A35CB"/>
    <w:rsid w:val="37E228EE"/>
    <w:rsid w:val="37F039D3"/>
    <w:rsid w:val="392453D5"/>
    <w:rsid w:val="396003DF"/>
    <w:rsid w:val="3996244D"/>
    <w:rsid w:val="3A0D261A"/>
    <w:rsid w:val="3A1F5AC4"/>
    <w:rsid w:val="3A241712"/>
    <w:rsid w:val="3AC125EE"/>
    <w:rsid w:val="3B605538"/>
    <w:rsid w:val="3BA22DE3"/>
    <w:rsid w:val="3C577B7C"/>
    <w:rsid w:val="3C7E335B"/>
    <w:rsid w:val="3C897205"/>
    <w:rsid w:val="3FF102E8"/>
    <w:rsid w:val="3FF71661"/>
    <w:rsid w:val="40AB493B"/>
    <w:rsid w:val="40D94044"/>
    <w:rsid w:val="41182FEF"/>
    <w:rsid w:val="41B82E6B"/>
    <w:rsid w:val="42976E80"/>
    <w:rsid w:val="42ED0C6F"/>
    <w:rsid w:val="43A33585"/>
    <w:rsid w:val="43D964D2"/>
    <w:rsid w:val="440A3726"/>
    <w:rsid w:val="44B46645"/>
    <w:rsid w:val="44FC6040"/>
    <w:rsid w:val="45132A19"/>
    <w:rsid w:val="45394A3E"/>
    <w:rsid w:val="45442C68"/>
    <w:rsid w:val="4633260C"/>
    <w:rsid w:val="4634204F"/>
    <w:rsid w:val="46FE6D78"/>
    <w:rsid w:val="48317C2F"/>
    <w:rsid w:val="491B1607"/>
    <w:rsid w:val="491C4628"/>
    <w:rsid w:val="49355748"/>
    <w:rsid w:val="495B3595"/>
    <w:rsid w:val="49C01EAE"/>
    <w:rsid w:val="4A54710F"/>
    <w:rsid w:val="4A61726E"/>
    <w:rsid w:val="4B775B45"/>
    <w:rsid w:val="4CE27380"/>
    <w:rsid w:val="4CE54D31"/>
    <w:rsid w:val="4D231FC6"/>
    <w:rsid w:val="4E3B5B69"/>
    <w:rsid w:val="4E782283"/>
    <w:rsid w:val="4E7D5C7B"/>
    <w:rsid w:val="4EA84268"/>
    <w:rsid w:val="4F2E0C11"/>
    <w:rsid w:val="4F4E3061"/>
    <w:rsid w:val="4F723821"/>
    <w:rsid w:val="4FA64C4B"/>
    <w:rsid w:val="523D5EF0"/>
    <w:rsid w:val="524C18FE"/>
    <w:rsid w:val="52756B57"/>
    <w:rsid w:val="52A631B4"/>
    <w:rsid w:val="52C339E3"/>
    <w:rsid w:val="52ED0DE3"/>
    <w:rsid w:val="532A16EF"/>
    <w:rsid w:val="53426A39"/>
    <w:rsid w:val="538057B3"/>
    <w:rsid w:val="542735F9"/>
    <w:rsid w:val="54C91C49"/>
    <w:rsid w:val="55506F61"/>
    <w:rsid w:val="55622A1A"/>
    <w:rsid w:val="557E5D22"/>
    <w:rsid w:val="55A439DB"/>
    <w:rsid w:val="55A97243"/>
    <w:rsid w:val="55EE10FA"/>
    <w:rsid w:val="561E5396"/>
    <w:rsid w:val="567F7FA4"/>
    <w:rsid w:val="5731061B"/>
    <w:rsid w:val="57A54A2B"/>
    <w:rsid w:val="57FD5619"/>
    <w:rsid w:val="58353010"/>
    <w:rsid w:val="58C85C32"/>
    <w:rsid w:val="58D02F63"/>
    <w:rsid w:val="5A3C38AC"/>
    <w:rsid w:val="5ABF6C57"/>
    <w:rsid w:val="5B423199"/>
    <w:rsid w:val="5B9919F1"/>
    <w:rsid w:val="5BAC3DA7"/>
    <w:rsid w:val="5BF05BB0"/>
    <w:rsid w:val="5C364B02"/>
    <w:rsid w:val="5CF5538D"/>
    <w:rsid w:val="5D173D95"/>
    <w:rsid w:val="5DA37257"/>
    <w:rsid w:val="5EE3888B"/>
    <w:rsid w:val="5FC7BE76"/>
    <w:rsid w:val="6020340B"/>
    <w:rsid w:val="607E588E"/>
    <w:rsid w:val="60BE7595"/>
    <w:rsid w:val="613A1697"/>
    <w:rsid w:val="62797CF3"/>
    <w:rsid w:val="62AD7A52"/>
    <w:rsid w:val="632B1962"/>
    <w:rsid w:val="63AB6261"/>
    <w:rsid w:val="63D2399F"/>
    <w:rsid w:val="63D31F1A"/>
    <w:rsid w:val="6401649C"/>
    <w:rsid w:val="6410048D"/>
    <w:rsid w:val="642021C6"/>
    <w:rsid w:val="65165F77"/>
    <w:rsid w:val="654B6704"/>
    <w:rsid w:val="65C04652"/>
    <w:rsid w:val="6653385C"/>
    <w:rsid w:val="66DB2FD4"/>
    <w:rsid w:val="673B3A73"/>
    <w:rsid w:val="67D87D9E"/>
    <w:rsid w:val="67DF6D0B"/>
    <w:rsid w:val="6885320B"/>
    <w:rsid w:val="689478DF"/>
    <w:rsid w:val="69483CB1"/>
    <w:rsid w:val="694E3F32"/>
    <w:rsid w:val="6A281FE2"/>
    <w:rsid w:val="6AD92226"/>
    <w:rsid w:val="6AEB57B0"/>
    <w:rsid w:val="6B030D4C"/>
    <w:rsid w:val="6BF62BDB"/>
    <w:rsid w:val="6D6A2665"/>
    <w:rsid w:val="6DA83A16"/>
    <w:rsid w:val="6DEF2023"/>
    <w:rsid w:val="708B681E"/>
    <w:rsid w:val="71033854"/>
    <w:rsid w:val="71070789"/>
    <w:rsid w:val="724A7260"/>
    <w:rsid w:val="72C91CD4"/>
    <w:rsid w:val="73BC436A"/>
    <w:rsid w:val="73BE6592"/>
    <w:rsid w:val="73EF6311"/>
    <w:rsid w:val="74EA412A"/>
    <w:rsid w:val="75C021D1"/>
    <w:rsid w:val="771F432A"/>
    <w:rsid w:val="778C3E77"/>
    <w:rsid w:val="77FF1D7B"/>
    <w:rsid w:val="7859032F"/>
    <w:rsid w:val="788D434B"/>
    <w:rsid w:val="793F5645"/>
    <w:rsid w:val="7A0532CB"/>
    <w:rsid w:val="7B0C77A9"/>
    <w:rsid w:val="7B9003DA"/>
    <w:rsid w:val="7B943E60"/>
    <w:rsid w:val="7BF24BF0"/>
    <w:rsid w:val="7C7B2E38"/>
    <w:rsid w:val="7D7FBDBF"/>
    <w:rsid w:val="7DB67EA0"/>
    <w:rsid w:val="7DBC3708"/>
    <w:rsid w:val="7E4D6E9E"/>
    <w:rsid w:val="C6BA803A"/>
    <w:rsid w:val="CF793E34"/>
    <w:rsid w:val="DDFFE05B"/>
    <w:rsid w:val="F5DDA80B"/>
    <w:rsid w:val="F67B1EB3"/>
    <w:rsid w:val="FFD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line="560" w:lineRule="exact"/>
      <w:ind w:firstLine="880" w:firstLineChars="200"/>
      <w:jc w:val="left"/>
      <w:outlineLvl w:val="1"/>
    </w:pPr>
    <w:rPr>
      <w:rFonts w:ascii="宋体" w:hAnsi="宋体" w:eastAsia="方正黑体_GBK" w:cs="宋体"/>
      <w:bCs/>
      <w:kern w:val="0"/>
      <w:sz w:val="32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465</Characters>
  <Lines>0</Lines>
  <Paragraphs>0</Paragraphs>
  <TotalTime>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2022-05-28T09:23:00Z</dcterms:created>
  <dc:creator>童楚尧</dc:creator>
  <cp:lastModifiedBy>鲁黎</cp:lastModifiedBy>
  <dcterms:modified xsi:type="dcterms:W3CDTF">2023-06-19T06:40:54Z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50AD15563DB8E108DE53BE620F238F5A</vt:lpwstr>
  </property>
</Properties>
</file>