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90" w:lineRule="exac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新平彝族傣族自治县关心下一代工作委员会办公室202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年预算重点领域财政项目</w:t>
      </w:r>
    </w:p>
    <w:p>
      <w:pPr>
        <w:snapToGrid w:val="0"/>
        <w:spacing w:line="590" w:lineRule="exact"/>
        <w:jc w:val="center"/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文本公开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项目名称</w:t>
      </w:r>
    </w:p>
    <w:p>
      <w:pPr>
        <w:widowControl/>
        <w:spacing w:line="59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</w:rPr>
        <w:t>工作运转和未司项目经费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立项依据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2016年11月30日中共新平县委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/>
        </w:rPr>
        <w:t>常委会会议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纪要（31）第三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会议决定，每年预算关工委工作运转经费提高到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10.00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云综治办〔20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〕7号关于在全省全面实施未成年人司法项目的通知，安排全省129个县全面实施未成年人司法项目，最大限度地预防和减少未成年人违法犯罪，最大限度地矫治和挽救触法未成年人，最大限度地保护未成年人合法权益。提出了明确工作保障要求，要把项目经费列入同级财政预算。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项目实施单位</w:t>
      </w:r>
    </w:p>
    <w:p>
      <w:pPr>
        <w:widowControl/>
        <w:spacing w:line="590" w:lineRule="exact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新平彝族傣族自治县关心下一代工作委员会办公室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项目基本概况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工作运转和未司项目主要是开展青少年思想道德教育，宣传习近平新时代中国特色社会主义思想，组织青少年开展内容丰富、形式多样的活动。配合相关部门抓好未成年人教育预防犯罪，有效减少未成年人触法，最大限度地教育、感化、挽救触法未成年人，关爱未成年人健康成长。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记账服务工作。加强财务管理制度，规范会计核算，确保原始凭证、记账凭证、会记账簿审核无误，财务会计报告数字的准确；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（二）按时足额缴纳上年度残疾人就业保障资金；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下基层开展工作调研、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教育活动、业务指导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（四）征订报刊、书籍和学习资料；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（五）组织召开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工作会议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在全县24所中学、小学和职高中开展中华魂”读书活动，组织读本宣讲、征文、演讲比赛、文体活动，表彰奖励宣传典型。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开展未成年人思想道德、法治宣传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合适成年人业务培训，通报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未成年人司法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工作进展情况，安排工作任务，培训工作流程、管理办法、司法理念、职责范围。分析触法未成年人犯法问题的根源，对合适成年人参与司法机关讯（询）问、社会背景调查、提出分流意见，帮教及跟踪。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（九）关注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特殊问题青少年，必要时进行关爱救助，配合法院检察院开展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社会背景调查。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资金安排情况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（一）代理记账费1,4400元；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（二）业务工作经费4,000元；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差旅费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8,100元；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报刊费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11,600元；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4,200元；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中华魂主题教育活动费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1,000元；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宣传教育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经费15,000元；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未成年人司项目业务培训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费4,000元；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未成年人关爱救助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经费2,100元；</w:t>
      </w:r>
    </w:p>
    <w:p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共计64,400元。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项目实施计划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（一）代理记账1个单位，服务月数12个月；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（二）根据工作任务和安排，及时支付业务工作经费；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基层工作调研、教育活动、业务指导3次（含3）以上，涉及单位12（含12）个以上；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征订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报刊种类15（含15）种以上；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召开会议1次，参会人员21人；</w:t>
      </w:r>
    </w:p>
    <w:p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-10" w:leftChars="0"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“中华魂”主题教育活动开展单位73个，参加活动人数20,000（含20,000）人以上；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宣传教育30（含30）场次以上，教育人数3,000（含3,000）人次以上，宣传内容知晓率达95%以上；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未成年人司法项目业务培训1期，培训人员20人，参训率达95%以上，参训人员满意度达90%以上；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对未成年人关爱救助7人；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（十）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关工委在开展工作过程中，尽力为服务对象做好各项服务工作，服务对象对关工委工作满意度达90%以上。</w:t>
      </w:r>
    </w:p>
    <w:p>
      <w:pPr>
        <w:widowControl/>
        <w:numPr>
          <w:ilvl w:val="0"/>
          <w:numId w:val="1"/>
        </w:numPr>
        <w:spacing w:line="590" w:lineRule="exact"/>
        <w:ind w:left="200" w:leftChars="0" w:firstLine="640" w:firstLineChars="0"/>
        <w:jc w:val="left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通过项目的实施，解决代理记账服务费用，新平县关工委办公室会计工作得以顺利开展，为履行好部门职责提供有力工作保障，确保资金规范支出。将进一步推动新平县关工委工作再上新台阶。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对全县未成年人培育和践行社会主义核心价值观，让他们受到民族精神教育、时代精神教育、党史国史教育、中华传统文化教育。帮扶帮教未成年人，引导未成年人坚定理想信念，树立家国情怀，强化法律意识，养成良好的道德品质和遵纪守法的行为习惯，预防未成年人触法案件的发生。明确合适成年人工作职责，将触法未成年人从司法程序和实体法律的处罚中分流出来，进行矫治、教育、帮助，使其重新走上人生正途，帮助触法未成年人重塑美好人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>落实好各项工作任务，提高老同志工作业务水平，更好地服务于广大青少年，开展好对青少年的思想道德教育。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77C0BDC6"/>
    <w:multiLevelType w:val="singleLevel"/>
    <w:tmpl w:val="77C0BDC6"/>
    <w:lvl w:ilvl="0" w:tentative="0">
      <w:start w:val="4"/>
      <w:numFmt w:val="chineseCounting"/>
      <w:suff w:val="nothing"/>
      <w:lvlText w:val="（%1）"/>
      <w:lvlJc w:val="left"/>
      <w:pPr>
        <w:ind w:left="-10"/>
      </w:pPr>
      <w:rPr>
        <w:rFonts w:hint="eastAsia" w:ascii="方正仿宋_GBK" w:hAnsi="方正仿宋_GBK" w:eastAsia="方正仿宋_GBK" w:cs="方正仿宋_GBK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2FlZGE1NDU2MDZkMmIyNDdmM2MxMzE0MDk0N2YifQ=="/>
    <w:docVar w:name="KSO_WPS_MARK_KEY" w:val="bf75354f-33a6-43fa-9489-220a0853682a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27F376D"/>
    <w:rsid w:val="04C30A9D"/>
    <w:rsid w:val="08A73283"/>
    <w:rsid w:val="095A6BC7"/>
    <w:rsid w:val="0A712782"/>
    <w:rsid w:val="0AEA68A4"/>
    <w:rsid w:val="0AF93C7A"/>
    <w:rsid w:val="0D3274FF"/>
    <w:rsid w:val="11650C4C"/>
    <w:rsid w:val="117054A6"/>
    <w:rsid w:val="12842DC1"/>
    <w:rsid w:val="129A22E9"/>
    <w:rsid w:val="132D3E3D"/>
    <w:rsid w:val="135B502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3C4534A"/>
    <w:rsid w:val="34F0004B"/>
    <w:rsid w:val="37921A4F"/>
    <w:rsid w:val="388E1489"/>
    <w:rsid w:val="3C127D98"/>
    <w:rsid w:val="446C50AF"/>
    <w:rsid w:val="44AF4C81"/>
    <w:rsid w:val="49D13A3E"/>
    <w:rsid w:val="4C706ACD"/>
    <w:rsid w:val="4D375F02"/>
    <w:rsid w:val="4DDF562B"/>
    <w:rsid w:val="51431F81"/>
    <w:rsid w:val="51B86DDA"/>
    <w:rsid w:val="53486119"/>
    <w:rsid w:val="55A05383"/>
    <w:rsid w:val="58190C02"/>
    <w:rsid w:val="58B815ED"/>
    <w:rsid w:val="592E6F80"/>
    <w:rsid w:val="59473369"/>
    <w:rsid w:val="5B7D02F3"/>
    <w:rsid w:val="5E356403"/>
    <w:rsid w:val="5FA5204D"/>
    <w:rsid w:val="617265A9"/>
    <w:rsid w:val="647C6D32"/>
    <w:rsid w:val="689D7DAF"/>
    <w:rsid w:val="6B374CCA"/>
    <w:rsid w:val="6E2F17C8"/>
    <w:rsid w:val="6F1A39FC"/>
    <w:rsid w:val="6FC91A6F"/>
    <w:rsid w:val="70ED12F4"/>
    <w:rsid w:val="711B1DE7"/>
    <w:rsid w:val="723A2714"/>
    <w:rsid w:val="73C36B94"/>
    <w:rsid w:val="7453702F"/>
    <w:rsid w:val="747B40FB"/>
    <w:rsid w:val="7CD63E8E"/>
    <w:rsid w:val="7EB649F5"/>
    <w:rsid w:val="7EE70D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ascii="宋体" w:hAnsi="宋体"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ascii="Calibri" w:hAnsi="Calibri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37</Pages>
  <Words>752</Words>
  <Characters>4292</Characters>
  <Lines>35</Lines>
  <Paragraphs>10</Paragraphs>
  <TotalTime>14</TotalTime>
  <ScaleCrop>false</ScaleCrop>
  <LinksUpToDate>false</LinksUpToDate>
  <CharactersWithSpaces>5034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卢伟亮</cp:lastModifiedBy>
  <cp:lastPrinted>2023-01-28T09:42:00Z</cp:lastPrinted>
  <dcterms:modified xsi:type="dcterms:W3CDTF">2024-05-08T01:12:14Z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CF3B5E3FB81C4EFCA205A5E2F1EBCC1E_13</vt:lpwstr>
  </property>
</Properties>
</file>