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98" w:rsidRDefault="00744BE3" w:rsidP="00C2517D">
      <w:pPr>
        <w:snapToGrid w:val="0"/>
        <w:jc w:val="center"/>
        <w:rPr>
          <w:rFonts w:ascii="宋体" w:hAnsi="宋体"/>
          <w:b/>
          <w:sz w:val="52"/>
          <w:szCs w:val="52"/>
        </w:rPr>
      </w:pPr>
      <w:bookmarkStart w:id="0" w:name="第七部分部门决算分析报告撰写提纲"/>
      <w:r w:rsidRPr="0065440F">
        <w:rPr>
          <w:rFonts w:ascii="宋体" w:hAnsi="宋体" w:hint="eastAsia"/>
          <w:b/>
          <w:sz w:val="52"/>
          <w:szCs w:val="52"/>
        </w:rPr>
        <w:t>桂山街道办事处</w:t>
      </w:r>
      <w:r w:rsidR="00FB001A">
        <w:rPr>
          <w:rFonts w:ascii="宋体" w:hAnsi="宋体" w:hint="eastAsia"/>
          <w:b/>
          <w:sz w:val="52"/>
          <w:szCs w:val="52"/>
        </w:rPr>
        <w:t>201</w:t>
      </w:r>
      <w:r w:rsidR="0068342C">
        <w:rPr>
          <w:rFonts w:ascii="宋体" w:hAnsi="宋体" w:hint="eastAsia"/>
          <w:b/>
          <w:sz w:val="52"/>
          <w:szCs w:val="52"/>
        </w:rPr>
        <w:t>6</w:t>
      </w:r>
      <w:r w:rsidRPr="0065440F">
        <w:rPr>
          <w:rFonts w:ascii="宋体" w:hAnsi="宋体" w:hint="eastAsia"/>
          <w:b/>
          <w:sz w:val="52"/>
          <w:szCs w:val="52"/>
        </w:rPr>
        <w:t>年</w:t>
      </w:r>
      <w:r w:rsidR="004F3373" w:rsidRPr="0065440F">
        <w:rPr>
          <w:rFonts w:ascii="宋体" w:hAnsi="宋体" w:hint="eastAsia"/>
          <w:b/>
          <w:sz w:val="52"/>
          <w:szCs w:val="52"/>
        </w:rPr>
        <w:t>决算</w:t>
      </w:r>
    </w:p>
    <w:p w:rsidR="00C2517D" w:rsidRPr="0065440F" w:rsidRDefault="00E8094B" w:rsidP="00C2517D">
      <w:pPr>
        <w:snapToGrid w:val="0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公开说明</w:t>
      </w:r>
    </w:p>
    <w:p w:rsidR="00C2517D" w:rsidRDefault="00C2517D" w:rsidP="004F3373">
      <w:pPr>
        <w:snapToGrid w:val="0"/>
        <w:jc w:val="center"/>
        <w:rPr>
          <w:rFonts w:ascii="黑体" w:eastAsia="黑体"/>
          <w:sz w:val="28"/>
          <w:szCs w:val="28"/>
        </w:rPr>
      </w:pPr>
    </w:p>
    <w:bookmarkEnd w:id="0"/>
    <w:p w:rsidR="004F3373" w:rsidRDefault="004F3373" w:rsidP="004F3373">
      <w:pPr>
        <w:snapToGrid w:val="0"/>
      </w:pPr>
    </w:p>
    <w:p w:rsidR="00C2517D" w:rsidRPr="00986A21" w:rsidRDefault="00C2517D" w:rsidP="00C2517D">
      <w:pPr>
        <w:numPr>
          <w:ilvl w:val="0"/>
          <w:numId w:val="3"/>
        </w:numPr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部门基本情况</w:t>
      </w:r>
    </w:p>
    <w:p w:rsidR="00E24603" w:rsidRPr="00986A21" w:rsidRDefault="00E24603" w:rsidP="00986A21">
      <w:pPr>
        <w:ind w:firstLineChars="150" w:firstLine="542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1.部门职能</w:t>
      </w:r>
    </w:p>
    <w:p w:rsidR="00E24603" w:rsidRPr="00986A21" w:rsidRDefault="00E24603" w:rsidP="00986A21">
      <w:pPr>
        <w:ind w:firstLineChars="147" w:firstLine="531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部门决算是各单位预算执行情况的综合反映，是政府宏观经济决策的重要参考，也是编制部门预算、强化预算管理的基本依据。</w:t>
      </w:r>
      <w:r w:rsidR="00F8183B">
        <w:rPr>
          <w:rFonts w:ascii="仿宋" w:eastAsia="仿宋" w:hAnsi="仿宋" w:hint="eastAsia"/>
          <w:b/>
          <w:sz w:val="36"/>
          <w:szCs w:val="36"/>
        </w:rPr>
        <w:t>2016</w:t>
      </w:r>
      <w:r w:rsidRPr="00986A21">
        <w:rPr>
          <w:rFonts w:ascii="仿宋" w:eastAsia="仿宋" w:hAnsi="仿宋" w:hint="eastAsia"/>
          <w:b/>
          <w:sz w:val="36"/>
          <w:szCs w:val="36"/>
        </w:rPr>
        <w:t>年我</w:t>
      </w:r>
      <w:r w:rsidR="00827AEE" w:rsidRPr="00986A21">
        <w:rPr>
          <w:rFonts w:ascii="仿宋" w:eastAsia="仿宋" w:hAnsi="仿宋" w:hint="eastAsia"/>
          <w:b/>
          <w:sz w:val="36"/>
          <w:szCs w:val="36"/>
        </w:rPr>
        <w:t>街道</w:t>
      </w:r>
      <w:r w:rsidRPr="00986A21">
        <w:rPr>
          <w:rFonts w:ascii="仿宋" w:eastAsia="仿宋" w:hAnsi="仿宋" w:hint="eastAsia"/>
          <w:b/>
          <w:sz w:val="36"/>
          <w:szCs w:val="36"/>
        </w:rPr>
        <w:t>部门决算工作在县财政局的领导和指导下，通过</w:t>
      </w:r>
      <w:r w:rsidR="00827AEE" w:rsidRPr="00986A21">
        <w:rPr>
          <w:rFonts w:ascii="仿宋" w:eastAsia="仿宋" w:hAnsi="仿宋" w:hint="eastAsia"/>
          <w:b/>
          <w:sz w:val="36"/>
          <w:szCs w:val="36"/>
        </w:rPr>
        <w:t>街道所</w:t>
      </w:r>
      <w:r w:rsidRPr="00986A21">
        <w:rPr>
          <w:rFonts w:ascii="仿宋" w:eastAsia="仿宋" w:hAnsi="仿宋" w:hint="eastAsia"/>
          <w:b/>
          <w:sz w:val="36"/>
          <w:szCs w:val="36"/>
        </w:rPr>
        <w:t>属各单位的共同努力，按照部门决算报表编制上报口径及要求，精心编制，认真审核，努力提高部门决算编审质量，真实、准确、完整、及时地反映部门预算执行情况。</w:t>
      </w:r>
    </w:p>
    <w:p w:rsidR="00E24603" w:rsidRPr="00F8183B" w:rsidRDefault="00E24603" w:rsidP="00E24603">
      <w:pPr>
        <w:snapToGrid w:val="0"/>
        <w:ind w:left="1200"/>
        <w:rPr>
          <w:rFonts w:ascii="仿宋" w:eastAsia="仿宋" w:hAnsi="仿宋"/>
          <w:b/>
          <w:sz w:val="36"/>
          <w:szCs w:val="36"/>
        </w:rPr>
      </w:pPr>
    </w:p>
    <w:p w:rsidR="004F3373" w:rsidRPr="00986A21" w:rsidRDefault="00827AEE" w:rsidP="00986A21">
      <w:pPr>
        <w:snapToGrid w:val="0"/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2</w:t>
      </w:r>
      <w:r w:rsidR="004F3373" w:rsidRPr="00986A21">
        <w:rPr>
          <w:rFonts w:ascii="仿宋" w:eastAsia="仿宋" w:hAnsi="仿宋" w:hint="eastAsia"/>
          <w:b/>
          <w:sz w:val="36"/>
          <w:szCs w:val="36"/>
        </w:rPr>
        <w:t>．机构情况及增减变动原因</w:t>
      </w:r>
    </w:p>
    <w:p w:rsidR="005B21A7" w:rsidRPr="00986A21" w:rsidRDefault="00DA303F" w:rsidP="00986A21">
      <w:pPr>
        <w:snapToGrid w:val="0"/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桂山街道纳入</w:t>
      </w:r>
      <w:r w:rsidR="00C65A0F" w:rsidRPr="00986A21">
        <w:rPr>
          <w:rFonts w:ascii="仿宋" w:eastAsia="仿宋" w:hAnsi="仿宋" w:hint="eastAsia"/>
          <w:b/>
          <w:sz w:val="36"/>
          <w:szCs w:val="36"/>
        </w:rPr>
        <w:t>201</w:t>
      </w:r>
      <w:r w:rsidR="00F8183B">
        <w:rPr>
          <w:rFonts w:ascii="仿宋" w:eastAsia="仿宋" w:hAnsi="仿宋" w:hint="eastAsia"/>
          <w:b/>
          <w:sz w:val="36"/>
          <w:szCs w:val="36"/>
        </w:rPr>
        <w:t>6</w:t>
      </w:r>
      <w:r w:rsidRPr="00986A21">
        <w:rPr>
          <w:rFonts w:ascii="仿宋" w:eastAsia="仿宋" w:hAnsi="仿宋" w:hint="eastAsia"/>
          <w:b/>
          <w:sz w:val="36"/>
          <w:szCs w:val="36"/>
        </w:rPr>
        <w:t>年部门决算汇编范围的独立核算单位共19个，其中：行政单位4个（党工委、人大工委、街道办事处、科委），事业单位</w:t>
      </w:r>
      <w:r w:rsidR="00551878" w:rsidRPr="00986A21">
        <w:rPr>
          <w:rFonts w:ascii="仿宋" w:eastAsia="仿宋" w:hAnsi="仿宋" w:hint="eastAsia"/>
          <w:b/>
          <w:sz w:val="36"/>
          <w:szCs w:val="36"/>
        </w:rPr>
        <w:t>15</w:t>
      </w:r>
      <w:r w:rsidRPr="00986A21">
        <w:rPr>
          <w:rFonts w:ascii="仿宋" w:eastAsia="仿宋" w:hAnsi="仿宋" w:hint="eastAsia"/>
          <w:b/>
          <w:sz w:val="36"/>
          <w:szCs w:val="36"/>
        </w:rPr>
        <w:t>个（财政所、农保所、劳动站、党校、文化站、规划所、企业站、农科站、农机站、农经站、兽医站、林业站、水管站、计生站、新合办）。</w:t>
      </w:r>
    </w:p>
    <w:p w:rsidR="004F3373" w:rsidRPr="00986A21" w:rsidRDefault="00827AEE" w:rsidP="00986A21">
      <w:pPr>
        <w:snapToGrid w:val="0"/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3</w:t>
      </w:r>
      <w:r w:rsidR="00551878" w:rsidRPr="00986A21">
        <w:rPr>
          <w:rFonts w:ascii="仿宋" w:eastAsia="仿宋" w:hAnsi="仿宋" w:hint="eastAsia"/>
          <w:b/>
          <w:sz w:val="36"/>
          <w:szCs w:val="36"/>
        </w:rPr>
        <w:t>．人员情况及增减变动原</w:t>
      </w:r>
    </w:p>
    <w:p w:rsidR="004F3373" w:rsidRPr="00986A21" w:rsidRDefault="005B21A7" w:rsidP="00986A21">
      <w:pPr>
        <w:snapToGrid w:val="0"/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桂山街道</w:t>
      </w:r>
      <w:r w:rsidR="00F8183B">
        <w:rPr>
          <w:rFonts w:ascii="仿宋" w:eastAsia="仿宋" w:hAnsi="仿宋" w:hint="eastAsia"/>
          <w:b/>
          <w:sz w:val="36"/>
          <w:szCs w:val="36"/>
        </w:rPr>
        <w:t>2016</w:t>
      </w:r>
      <w:r w:rsidRPr="00986A21">
        <w:rPr>
          <w:rFonts w:ascii="仿宋" w:eastAsia="仿宋" w:hAnsi="仿宋" w:hint="eastAsia"/>
          <w:b/>
          <w:sz w:val="36"/>
          <w:szCs w:val="36"/>
        </w:rPr>
        <w:t>年末编制人数</w:t>
      </w:r>
      <w:r w:rsidR="00F8183B">
        <w:rPr>
          <w:rFonts w:ascii="仿宋" w:eastAsia="仿宋" w:hAnsi="仿宋" w:hint="eastAsia"/>
          <w:b/>
          <w:sz w:val="36"/>
          <w:szCs w:val="36"/>
        </w:rPr>
        <w:t>63</w:t>
      </w:r>
      <w:r w:rsidRPr="00986A21">
        <w:rPr>
          <w:rFonts w:ascii="仿宋" w:eastAsia="仿宋" w:hAnsi="仿宋" w:hint="eastAsia"/>
          <w:b/>
          <w:sz w:val="36"/>
          <w:szCs w:val="36"/>
        </w:rPr>
        <w:t>人，其中：行政编制</w:t>
      </w:r>
      <w:r w:rsidR="00FB001A" w:rsidRPr="00986A21">
        <w:rPr>
          <w:rFonts w:ascii="仿宋" w:eastAsia="仿宋" w:hAnsi="仿宋" w:hint="eastAsia"/>
          <w:b/>
          <w:sz w:val="36"/>
          <w:szCs w:val="36"/>
        </w:rPr>
        <w:t>26</w:t>
      </w:r>
      <w:r w:rsidRPr="00986A21">
        <w:rPr>
          <w:rFonts w:ascii="仿宋" w:eastAsia="仿宋" w:hAnsi="仿宋" w:hint="eastAsia"/>
          <w:b/>
          <w:sz w:val="36"/>
          <w:szCs w:val="36"/>
        </w:rPr>
        <w:t>人，事业编制</w:t>
      </w:r>
      <w:r w:rsidR="00F8183B">
        <w:rPr>
          <w:rFonts w:ascii="仿宋" w:eastAsia="仿宋" w:hAnsi="仿宋" w:hint="eastAsia"/>
          <w:b/>
          <w:sz w:val="36"/>
          <w:szCs w:val="36"/>
        </w:rPr>
        <w:t>37</w:t>
      </w:r>
      <w:r w:rsidRPr="00986A21">
        <w:rPr>
          <w:rFonts w:ascii="仿宋" w:eastAsia="仿宋" w:hAnsi="仿宋" w:hint="eastAsia"/>
          <w:b/>
          <w:sz w:val="36"/>
          <w:szCs w:val="36"/>
        </w:rPr>
        <w:t>人。桂山街道</w:t>
      </w:r>
      <w:r w:rsidR="00F8183B">
        <w:rPr>
          <w:rFonts w:ascii="仿宋" w:eastAsia="仿宋" w:hAnsi="仿宋" w:hint="eastAsia"/>
          <w:b/>
          <w:sz w:val="36"/>
          <w:szCs w:val="36"/>
        </w:rPr>
        <w:t>2016</w:t>
      </w:r>
      <w:r w:rsidRPr="00986A21">
        <w:rPr>
          <w:rFonts w:ascii="仿宋" w:eastAsia="仿宋" w:hAnsi="仿宋" w:hint="eastAsia"/>
          <w:b/>
          <w:sz w:val="36"/>
          <w:szCs w:val="36"/>
        </w:rPr>
        <w:t>年末在职人员</w:t>
      </w:r>
      <w:r w:rsidR="00F8183B">
        <w:rPr>
          <w:rFonts w:ascii="仿宋" w:eastAsia="仿宋" w:hAnsi="仿宋" w:hint="eastAsia"/>
          <w:b/>
          <w:sz w:val="36"/>
          <w:szCs w:val="36"/>
        </w:rPr>
        <w:t>63</w:t>
      </w:r>
      <w:r w:rsidRPr="00986A21">
        <w:rPr>
          <w:rFonts w:ascii="仿宋" w:eastAsia="仿宋" w:hAnsi="仿宋" w:hint="eastAsia"/>
          <w:b/>
          <w:sz w:val="36"/>
          <w:szCs w:val="36"/>
        </w:rPr>
        <w:t>人，基中：行政人员</w:t>
      </w:r>
      <w:r w:rsidR="00F8183B">
        <w:rPr>
          <w:rFonts w:ascii="仿宋" w:eastAsia="仿宋" w:hAnsi="仿宋" w:hint="eastAsia"/>
          <w:b/>
          <w:sz w:val="36"/>
          <w:szCs w:val="36"/>
        </w:rPr>
        <w:t>33</w:t>
      </w:r>
      <w:r w:rsidRPr="00986A21">
        <w:rPr>
          <w:rFonts w:ascii="仿宋" w:eastAsia="仿宋" w:hAnsi="仿宋" w:hint="eastAsia"/>
          <w:b/>
          <w:sz w:val="36"/>
          <w:szCs w:val="36"/>
        </w:rPr>
        <w:t>人（党工委</w:t>
      </w:r>
      <w:r w:rsidR="00D641E2" w:rsidRPr="00986A21">
        <w:rPr>
          <w:rFonts w:ascii="仿宋" w:eastAsia="仿宋" w:hAnsi="仿宋" w:hint="eastAsia"/>
          <w:b/>
          <w:sz w:val="36"/>
          <w:szCs w:val="36"/>
        </w:rPr>
        <w:t>9</w:t>
      </w:r>
      <w:r w:rsidRPr="00986A21">
        <w:rPr>
          <w:rFonts w:ascii="仿宋" w:eastAsia="仿宋" w:hAnsi="仿宋" w:hint="eastAsia"/>
          <w:b/>
          <w:sz w:val="36"/>
          <w:szCs w:val="36"/>
        </w:rPr>
        <w:t>人、人大工委</w:t>
      </w:r>
      <w:r w:rsidR="00F8183B">
        <w:rPr>
          <w:rFonts w:ascii="仿宋" w:eastAsia="仿宋" w:hAnsi="仿宋" w:hint="eastAsia"/>
          <w:b/>
          <w:sz w:val="36"/>
          <w:szCs w:val="36"/>
        </w:rPr>
        <w:t>3</w:t>
      </w:r>
      <w:r w:rsidRPr="00986A21">
        <w:rPr>
          <w:rFonts w:ascii="仿宋" w:eastAsia="仿宋" w:hAnsi="仿宋" w:hint="eastAsia"/>
          <w:b/>
          <w:sz w:val="36"/>
          <w:szCs w:val="36"/>
        </w:rPr>
        <w:t>人、街道办事处</w:t>
      </w:r>
      <w:r w:rsidR="00F8183B">
        <w:rPr>
          <w:rFonts w:ascii="仿宋" w:eastAsia="仿宋" w:hAnsi="仿宋" w:hint="eastAsia"/>
          <w:b/>
          <w:sz w:val="36"/>
          <w:szCs w:val="36"/>
        </w:rPr>
        <w:t>13</w:t>
      </w:r>
      <w:r w:rsidRPr="00986A21">
        <w:rPr>
          <w:rFonts w:ascii="仿宋" w:eastAsia="仿宋" w:hAnsi="仿宋" w:hint="eastAsia"/>
          <w:b/>
          <w:sz w:val="36"/>
          <w:szCs w:val="36"/>
        </w:rPr>
        <w:t>人、科委1人）。事业人员</w:t>
      </w:r>
      <w:r w:rsidR="00F8183B">
        <w:rPr>
          <w:rFonts w:ascii="仿宋" w:eastAsia="仿宋" w:hAnsi="仿宋" w:hint="eastAsia"/>
          <w:b/>
          <w:sz w:val="36"/>
          <w:szCs w:val="36"/>
        </w:rPr>
        <w:t>30</w:t>
      </w:r>
      <w:r w:rsidRPr="00986A21">
        <w:rPr>
          <w:rFonts w:ascii="仿宋" w:eastAsia="仿宋" w:hAnsi="仿宋" w:hint="eastAsia"/>
          <w:b/>
          <w:sz w:val="36"/>
          <w:szCs w:val="36"/>
        </w:rPr>
        <w:t>人（财政所</w:t>
      </w:r>
      <w:r w:rsidR="00231768">
        <w:rPr>
          <w:rFonts w:ascii="仿宋" w:eastAsia="仿宋" w:hAnsi="仿宋" w:hint="eastAsia"/>
          <w:b/>
          <w:sz w:val="36"/>
          <w:szCs w:val="36"/>
        </w:rPr>
        <w:t>7</w:t>
      </w:r>
      <w:r w:rsidRPr="00986A21">
        <w:rPr>
          <w:rFonts w:ascii="仿宋" w:eastAsia="仿宋" w:hAnsi="仿宋" w:hint="eastAsia"/>
          <w:b/>
          <w:sz w:val="36"/>
          <w:szCs w:val="36"/>
        </w:rPr>
        <w:t>人、农保所2人、劳动站1人、党校</w:t>
      </w:r>
      <w:r w:rsidR="00231768">
        <w:rPr>
          <w:rFonts w:ascii="仿宋" w:eastAsia="仿宋" w:hAnsi="仿宋" w:hint="eastAsia"/>
          <w:b/>
          <w:sz w:val="36"/>
          <w:szCs w:val="36"/>
        </w:rPr>
        <w:t>2</w:t>
      </w:r>
      <w:r w:rsidRPr="00986A21">
        <w:rPr>
          <w:rFonts w:ascii="仿宋" w:eastAsia="仿宋" w:hAnsi="仿宋" w:hint="eastAsia"/>
          <w:b/>
          <w:sz w:val="36"/>
          <w:szCs w:val="36"/>
        </w:rPr>
        <w:t>人、文化站</w:t>
      </w:r>
      <w:r w:rsidR="00231768">
        <w:rPr>
          <w:rFonts w:ascii="仿宋" w:eastAsia="仿宋" w:hAnsi="仿宋" w:hint="eastAsia"/>
          <w:b/>
          <w:sz w:val="36"/>
          <w:szCs w:val="36"/>
        </w:rPr>
        <w:t>2</w:t>
      </w:r>
      <w:r w:rsidRPr="00986A21">
        <w:rPr>
          <w:rFonts w:ascii="仿宋" w:eastAsia="仿宋" w:hAnsi="仿宋" w:hint="eastAsia"/>
          <w:b/>
          <w:sz w:val="36"/>
          <w:szCs w:val="36"/>
        </w:rPr>
        <w:t>人、规划所</w:t>
      </w:r>
      <w:r w:rsidR="00231768">
        <w:rPr>
          <w:rFonts w:ascii="仿宋" w:eastAsia="仿宋" w:hAnsi="仿宋" w:hint="eastAsia"/>
          <w:b/>
          <w:sz w:val="36"/>
          <w:szCs w:val="36"/>
        </w:rPr>
        <w:t>4</w:t>
      </w:r>
      <w:r w:rsidRPr="00986A21">
        <w:rPr>
          <w:rFonts w:ascii="仿宋" w:eastAsia="仿宋" w:hAnsi="仿宋" w:hint="eastAsia"/>
          <w:b/>
          <w:sz w:val="36"/>
          <w:szCs w:val="36"/>
        </w:rPr>
        <w:t>人、企业站2人、农科站1人、农机站2人、农经站</w:t>
      </w:r>
      <w:r w:rsidR="00231768">
        <w:rPr>
          <w:rFonts w:ascii="仿宋" w:eastAsia="仿宋" w:hAnsi="仿宋" w:hint="eastAsia"/>
          <w:b/>
          <w:sz w:val="36"/>
          <w:szCs w:val="36"/>
        </w:rPr>
        <w:t>2</w:t>
      </w:r>
      <w:r w:rsidRPr="00986A21">
        <w:rPr>
          <w:rFonts w:ascii="仿宋" w:eastAsia="仿宋" w:hAnsi="仿宋" w:hint="eastAsia"/>
          <w:b/>
          <w:sz w:val="36"/>
          <w:szCs w:val="36"/>
        </w:rPr>
        <w:t>人、兽医站</w:t>
      </w:r>
      <w:r w:rsidR="00231768">
        <w:rPr>
          <w:rFonts w:ascii="仿宋" w:eastAsia="仿宋" w:hAnsi="仿宋" w:hint="eastAsia"/>
          <w:b/>
          <w:sz w:val="36"/>
          <w:szCs w:val="36"/>
        </w:rPr>
        <w:t>2</w:t>
      </w:r>
      <w:r w:rsidRPr="00986A21">
        <w:rPr>
          <w:rFonts w:ascii="仿宋" w:eastAsia="仿宋" w:hAnsi="仿宋" w:hint="eastAsia"/>
          <w:b/>
          <w:sz w:val="36"/>
          <w:szCs w:val="36"/>
        </w:rPr>
        <w:t>人、林业站2人、水管站2人、计生站3人、新合办3人）。</w:t>
      </w:r>
    </w:p>
    <w:p w:rsidR="00C54FFF" w:rsidRPr="00C54FFF" w:rsidRDefault="00C54FFF" w:rsidP="00C54FFF">
      <w:pPr>
        <w:snapToGrid w:val="0"/>
        <w:ind w:firstLineChars="200" w:firstLine="560"/>
        <w:rPr>
          <w:rFonts w:ascii="宋体" w:hAnsi="宋体"/>
          <w:sz w:val="28"/>
          <w:szCs w:val="28"/>
        </w:rPr>
      </w:pPr>
    </w:p>
    <w:p w:rsidR="00C54FFF" w:rsidRPr="00986A21" w:rsidRDefault="004F3373" w:rsidP="00C54FFF">
      <w:pPr>
        <w:numPr>
          <w:ilvl w:val="0"/>
          <w:numId w:val="3"/>
        </w:numPr>
        <w:snapToGrid w:val="0"/>
        <w:rPr>
          <w:rFonts w:ascii="仿宋" w:eastAsia="仿宋" w:hAnsi="仿宋"/>
          <w:b/>
          <w:sz w:val="44"/>
          <w:szCs w:val="44"/>
        </w:rPr>
      </w:pPr>
      <w:r w:rsidRPr="00986A21">
        <w:rPr>
          <w:rFonts w:ascii="仿宋" w:eastAsia="仿宋" w:hAnsi="仿宋" w:hint="eastAsia"/>
          <w:b/>
          <w:sz w:val="44"/>
          <w:szCs w:val="44"/>
        </w:rPr>
        <w:t>部门预算执行情况分析</w:t>
      </w:r>
    </w:p>
    <w:p w:rsidR="00AC3A4A" w:rsidRPr="00986A21" w:rsidRDefault="00986A21" w:rsidP="00986A21">
      <w:pPr>
        <w:ind w:firstLineChars="200" w:firstLine="723"/>
        <w:rPr>
          <w:rFonts w:ascii="仿宋" w:eastAsia="仿宋" w:hAnsi="仿宋"/>
          <w:b/>
          <w:bCs/>
          <w:sz w:val="36"/>
          <w:szCs w:val="36"/>
        </w:rPr>
      </w:pPr>
      <w:r w:rsidRPr="00986A21">
        <w:rPr>
          <w:rFonts w:ascii="仿宋" w:eastAsia="仿宋" w:hAnsi="仿宋" w:hint="eastAsia"/>
          <w:b/>
          <w:bCs/>
          <w:sz w:val="36"/>
          <w:szCs w:val="36"/>
        </w:rPr>
        <w:lastRenderedPageBreak/>
        <w:t>1.</w:t>
      </w:r>
      <w:r w:rsidR="00AC3A4A" w:rsidRPr="00986A21">
        <w:rPr>
          <w:rFonts w:ascii="仿宋" w:eastAsia="仿宋" w:hAnsi="仿宋" w:hint="eastAsia"/>
          <w:b/>
          <w:bCs/>
          <w:sz w:val="36"/>
          <w:szCs w:val="36"/>
        </w:rPr>
        <w:t>收入情况</w:t>
      </w:r>
    </w:p>
    <w:p w:rsidR="00AC3A4A" w:rsidRPr="00986A21" w:rsidRDefault="00AC3A4A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桂山街道</w:t>
      </w:r>
      <w:r w:rsidR="00231768">
        <w:rPr>
          <w:rFonts w:ascii="仿宋" w:eastAsia="仿宋" w:hAnsi="仿宋" w:hint="eastAsia"/>
          <w:b/>
          <w:sz w:val="36"/>
          <w:szCs w:val="36"/>
        </w:rPr>
        <w:t>2016</w:t>
      </w:r>
      <w:r w:rsidRPr="00986A21">
        <w:rPr>
          <w:rFonts w:ascii="仿宋" w:eastAsia="仿宋" w:hAnsi="仿宋" w:hint="eastAsia"/>
          <w:b/>
          <w:sz w:val="36"/>
          <w:szCs w:val="36"/>
        </w:rPr>
        <w:t>年决算总收入</w:t>
      </w:r>
      <w:r w:rsidR="00231768">
        <w:rPr>
          <w:rFonts w:ascii="仿宋" w:eastAsia="仿宋" w:hAnsi="仿宋" w:hint="eastAsia"/>
          <w:b/>
          <w:sz w:val="36"/>
          <w:szCs w:val="36"/>
        </w:rPr>
        <w:t>2543.4</w:t>
      </w:r>
      <w:r w:rsidRPr="00986A21">
        <w:rPr>
          <w:rFonts w:ascii="仿宋" w:eastAsia="仿宋" w:hAnsi="仿宋" w:hint="eastAsia"/>
          <w:b/>
          <w:sz w:val="36"/>
          <w:szCs w:val="36"/>
        </w:rPr>
        <w:t>万元，比上年的</w:t>
      </w:r>
      <w:r w:rsidR="00231768" w:rsidRPr="00986A21">
        <w:rPr>
          <w:rFonts w:ascii="仿宋" w:eastAsia="仿宋" w:hAnsi="仿宋" w:hint="eastAsia"/>
          <w:b/>
          <w:sz w:val="36"/>
          <w:szCs w:val="36"/>
        </w:rPr>
        <w:t>2344.2</w:t>
      </w:r>
      <w:r w:rsidRPr="00986A21">
        <w:rPr>
          <w:rFonts w:ascii="仿宋" w:eastAsia="仿宋" w:hAnsi="仿宋" w:hint="eastAsia"/>
          <w:b/>
          <w:sz w:val="36"/>
          <w:szCs w:val="36"/>
        </w:rPr>
        <w:t>万元</w:t>
      </w:r>
      <w:r w:rsidR="00231768">
        <w:rPr>
          <w:rFonts w:ascii="仿宋" w:eastAsia="仿宋" w:hAnsi="仿宋" w:hint="eastAsia"/>
          <w:b/>
          <w:sz w:val="36"/>
          <w:szCs w:val="36"/>
        </w:rPr>
        <w:t>增199.2</w:t>
      </w:r>
      <w:r w:rsidRPr="00986A21">
        <w:rPr>
          <w:rFonts w:ascii="仿宋" w:eastAsia="仿宋" w:hAnsi="仿宋" w:hint="eastAsia"/>
          <w:b/>
          <w:sz w:val="36"/>
          <w:szCs w:val="36"/>
        </w:rPr>
        <w:t xml:space="preserve">万元， </w:t>
      </w:r>
      <w:r w:rsidR="00263643" w:rsidRPr="00986A21">
        <w:rPr>
          <w:rFonts w:ascii="仿宋" w:eastAsia="仿宋" w:hAnsi="仿宋" w:hint="eastAsia"/>
          <w:b/>
          <w:sz w:val="36"/>
          <w:szCs w:val="36"/>
        </w:rPr>
        <w:t>其中</w:t>
      </w:r>
      <w:r w:rsidRPr="00986A21">
        <w:rPr>
          <w:rFonts w:ascii="仿宋" w:eastAsia="仿宋" w:hAnsi="仿宋" w:hint="eastAsia"/>
          <w:b/>
          <w:sz w:val="36"/>
          <w:szCs w:val="36"/>
        </w:rPr>
        <w:t>20</w:t>
      </w:r>
      <w:r w:rsidR="00231768">
        <w:rPr>
          <w:rFonts w:ascii="仿宋" w:eastAsia="仿宋" w:hAnsi="仿宋" w:hint="eastAsia"/>
          <w:b/>
          <w:sz w:val="36"/>
          <w:szCs w:val="36"/>
        </w:rPr>
        <w:t>16</w:t>
      </w:r>
      <w:r w:rsidR="00263643" w:rsidRPr="00986A21">
        <w:rPr>
          <w:rFonts w:ascii="仿宋" w:eastAsia="仿宋" w:hAnsi="仿宋" w:hint="eastAsia"/>
          <w:b/>
          <w:sz w:val="36"/>
          <w:szCs w:val="36"/>
        </w:rPr>
        <w:t>年</w:t>
      </w:r>
      <w:r w:rsidRPr="00986A21">
        <w:rPr>
          <w:rFonts w:ascii="仿宋" w:eastAsia="仿宋" w:hAnsi="仿宋" w:hint="eastAsia"/>
          <w:b/>
          <w:sz w:val="36"/>
          <w:szCs w:val="36"/>
        </w:rPr>
        <w:t>项目收入</w:t>
      </w:r>
      <w:r w:rsidR="000901C4">
        <w:rPr>
          <w:rFonts w:ascii="仿宋" w:eastAsia="仿宋" w:hAnsi="仿宋" w:hint="eastAsia"/>
          <w:b/>
          <w:sz w:val="36"/>
          <w:szCs w:val="36"/>
        </w:rPr>
        <w:t>1427</w:t>
      </w:r>
      <w:r w:rsidR="00263643" w:rsidRPr="00986A21">
        <w:rPr>
          <w:rFonts w:ascii="仿宋" w:eastAsia="仿宋" w:hAnsi="仿宋" w:hint="eastAsia"/>
          <w:b/>
          <w:sz w:val="36"/>
          <w:szCs w:val="36"/>
        </w:rPr>
        <w:t>万元</w:t>
      </w:r>
      <w:r w:rsidRPr="00986A21">
        <w:rPr>
          <w:rFonts w:ascii="仿宋" w:eastAsia="仿宋" w:hAnsi="仿宋" w:hint="eastAsia"/>
          <w:b/>
          <w:sz w:val="36"/>
          <w:szCs w:val="36"/>
        </w:rPr>
        <w:t>比201</w:t>
      </w:r>
      <w:r w:rsidR="000901C4">
        <w:rPr>
          <w:rFonts w:ascii="仿宋" w:eastAsia="仿宋" w:hAnsi="仿宋" w:hint="eastAsia"/>
          <w:b/>
          <w:sz w:val="36"/>
          <w:szCs w:val="36"/>
        </w:rPr>
        <w:t>5</w:t>
      </w:r>
      <w:r w:rsidRPr="00986A21">
        <w:rPr>
          <w:rFonts w:ascii="仿宋" w:eastAsia="仿宋" w:hAnsi="仿宋" w:hint="eastAsia"/>
          <w:b/>
          <w:sz w:val="36"/>
          <w:szCs w:val="36"/>
        </w:rPr>
        <w:t>年</w:t>
      </w:r>
      <w:r w:rsidR="00263643" w:rsidRPr="00986A21">
        <w:rPr>
          <w:rFonts w:ascii="仿宋" w:eastAsia="仿宋" w:hAnsi="仿宋" w:hint="eastAsia"/>
          <w:b/>
          <w:sz w:val="36"/>
          <w:szCs w:val="36"/>
        </w:rPr>
        <w:t>项目收入</w:t>
      </w:r>
      <w:r w:rsidR="00231768" w:rsidRPr="00986A21">
        <w:rPr>
          <w:rFonts w:ascii="仿宋" w:eastAsia="仿宋" w:hAnsi="仿宋" w:hint="eastAsia"/>
          <w:b/>
          <w:sz w:val="36"/>
          <w:szCs w:val="36"/>
        </w:rPr>
        <w:t>1272</w:t>
      </w:r>
      <w:r w:rsidRPr="00986A21">
        <w:rPr>
          <w:rFonts w:ascii="仿宋" w:eastAsia="仿宋" w:hAnsi="仿宋" w:hint="eastAsia"/>
          <w:b/>
          <w:sz w:val="36"/>
          <w:szCs w:val="36"/>
        </w:rPr>
        <w:t>万元</w:t>
      </w:r>
      <w:r w:rsidR="000901C4">
        <w:rPr>
          <w:rFonts w:ascii="仿宋" w:eastAsia="仿宋" w:hAnsi="仿宋" w:hint="eastAsia"/>
          <w:b/>
          <w:sz w:val="36"/>
          <w:szCs w:val="36"/>
        </w:rPr>
        <w:t>增155</w:t>
      </w:r>
      <w:r w:rsidR="00263643" w:rsidRPr="00986A21">
        <w:rPr>
          <w:rFonts w:ascii="仿宋" w:eastAsia="仿宋" w:hAnsi="仿宋" w:hint="eastAsia"/>
          <w:b/>
          <w:sz w:val="36"/>
          <w:szCs w:val="36"/>
        </w:rPr>
        <w:t>万元</w:t>
      </w:r>
      <w:r w:rsidRPr="00986A21">
        <w:rPr>
          <w:rFonts w:ascii="仿宋" w:eastAsia="仿宋" w:hAnsi="仿宋" w:hint="eastAsia"/>
          <w:b/>
          <w:sz w:val="36"/>
          <w:szCs w:val="36"/>
        </w:rPr>
        <w:t>，</w:t>
      </w:r>
      <w:r w:rsidR="00D22777" w:rsidRPr="00986A21">
        <w:rPr>
          <w:rFonts w:ascii="仿宋" w:eastAsia="仿宋" w:hAnsi="仿宋" w:hint="eastAsia"/>
          <w:b/>
          <w:sz w:val="36"/>
          <w:szCs w:val="36"/>
        </w:rPr>
        <w:t>基本收入</w:t>
      </w:r>
      <w:r w:rsidR="000901C4">
        <w:rPr>
          <w:rFonts w:ascii="仿宋" w:eastAsia="仿宋" w:hAnsi="仿宋" w:hint="eastAsia"/>
          <w:b/>
          <w:sz w:val="36"/>
          <w:szCs w:val="36"/>
        </w:rPr>
        <w:t>1655.6</w:t>
      </w:r>
      <w:r w:rsidR="00D22777" w:rsidRPr="00986A21">
        <w:rPr>
          <w:rFonts w:ascii="仿宋" w:eastAsia="仿宋" w:hAnsi="仿宋" w:hint="eastAsia"/>
          <w:b/>
          <w:sz w:val="36"/>
          <w:szCs w:val="36"/>
        </w:rPr>
        <w:t>万元比</w:t>
      </w:r>
      <w:r w:rsidR="000901C4">
        <w:rPr>
          <w:rFonts w:ascii="仿宋" w:eastAsia="仿宋" w:hAnsi="仿宋" w:hint="eastAsia"/>
          <w:b/>
          <w:sz w:val="36"/>
          <w:szCs w:val="36"/>
        </w:rPr>
        <w:t>2015</w:t>
      </w:r>
      <w:r w:rsidR="00D22777" w:rsidRPr="00986A21">
        <w:rPr>
          <w:rFonts w:ascii="仿宋" w:eastAsia="仿宋" w:hAnsi="仿宋" w:hint="eastAsia"/>
          <w:b/>
          <w:sz w:val="36"/>
          <w:szCs w:val="36"/>
        </w:rPr>
        <w:t>年基本收入</w:t>
      </w:r>
      <w:r w:rsidR="000901C4" w:rsidRPr="00986A21">
        <w:rPr>
          <w:rFonts w:ascii="仿宋" w:eastAsia="仿宋" w:hAnsi="仿宋" w:hint="eastAsia"/>
          <w:b/>
          <w:sz w:val="36"/>
          <w:szCs w:val="36"/>
        </w:rPr>
        <w:t>1072.2</w:t>
      </w:r>
      <w:r w:rsidR="00D22777" w:rsidRPr="00986A21">
        <w:rPr>
          <w:rFonts w:ascii="仿宋" w:eastAsia="仿宋" w:hAnsi="仿宋" w:hint="eastAsia"/>
          <w:b/>
          <w:sz w:val="36"/>
          <w:szCs w:val="36"/>
        </w:rPr>
        <w:t>万元</w:t>
      </w:r>
      <w:r w:rsidR="000901C4">
        <w:rPr>
          <w:rFonts w:ascii="仿宋" w:eastAsia="仿宋" w:hAnsi="仿宋" w:hint="eastAsia"/>
          <w:b/>
          <w:sz w:val="36"/>
          <w:szCs w:val="36"/>
        </w:rPr>
        <w:t>增583.4</w:t>
      </w:r>
      <w:r w:rsidR="00D22777" w:rsidRPr="00986A21">
        <w:rPr>
          <w:rFonts w:ascii="仿宋" w:eastAsia="仿宋" w:hAnsi="仿宋" w:hint="eastAsia"/>
          <w:b/>
          <w:sz w:val="36"/>
          <w:szCs w:val="36"/>
        </w:rPr>
        <w:t>万元。</w:t>
      </w:r>
    </w:p>
    <w:p w:rsidR="00AC3A4A" w:rsidRPr="00C54FFF" w:rsidRDefault="00AC3A4A" w:rsidP="00986A21">
      <w:pPr>
        <w:ind w:firstLineChars="150" w:firstLine="542"/>
        <w:rPr>
          <w:rFonts w:ascii="宋体" w:hAnsi="宋体"/>
          <w:sz w:val="28"/>
          <w:szCs w:val="28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财政拨款收入按支出功能分类划分：</w:t>
      </w:r>
    </w:p>
    <w:p w:rsidR="00AC3A4A" w:rsidRPr="00C54FFF" w:rsidRDefault="00D65F76" w:rsidP="00C54FFF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6381750" cy="4552950"/>
            <wp:effectExtent l="19050" t="0" r="19050" b="0"/>
            <wp:docPr id="40" name="对象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8537E" w:rsidRPr="00986A21" w:rsidRDefault="00AC3A4A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(1)一般公共服务支出累计完成</w:t>
      </w:r>
      <w:r w:rsidR="00E2787C">
        <w:rPr>
          <w:rFonts w:ascii="仿宋" w:eastAsia="仿宋" w:hAnsi="仿宋" w:hint="eastAsia"/>
          <w:b/>
          <w:sz w:val="36"/>
          <w:szCs w:val="36"/>
        </w:rPr>
        <w:t>595.06</w:t>
      </w:r>
      <w:r w:rsidRPr="00986A21">
        <w:rPr>
          <w:rFonts w:ascii="仿宋" w:eastAsia="仿宋" w:hAnsi="仿宋" w:hint="eastAsia"/>
          <w:b/>
          <w:sz w:val="36"/>
          <w:szCs w:val="36"/>
        </w:rPr>
        <w:t>万元，比上年的</w:t>
      </w:r>
      <w:r w:rsidR="00E2787C" w:rsidRPr="00986A21">
        <w:rPr>
          <w:rFonts w:ascii="仿宋" w:eastAsia="仿宋" w:hAnsi="仿宋" w:hint="eastAsia"/>
          <w:b/>
          <w:sz w:val="36"/>
          <w:szCs w:val="36"/>
        </w:rPr>
        <w:t>830.9</w:t>
      </w:r>
      <w:r w:rsidRPr="00986A21">
        <w:rPr>
          <w:rFonts w:ascii="仿宋" w:eastAsia="仿宋" w:hAnsi="仿宋" w:hint="eastAsia"/>
          <w:b/>
          <w:sz w:val="36"/>
          <w:szCs w:val="36"/>
        </w:rPr>
        <w:t>万元</w:t>
      </w:r>
      <w:r w:rsidR="00E2787C" w:rsidRPr="00986A21">
        <w:rPr>
          <w:rFonts w:ascii="仿宋" w:eastAsia="仿宋" w:hAnsi="仿宋" w:hint="eastAsia"/>
          <w:b/>
          <w:sz w:val="36"/>
          <w:szCs w:val="36"/>
        </w:rPr>
        <w:t>减</w:t>
      </w:r>
      <w:r w:rsidR="00E2787C">
        <w:rPr>
          <w:rFonts w:ascii="仿宋" w:eastAsia="仿宋" w:hAnsi="仿宋" w:hint="eastAsia"/>
          <w:b/>
          <w:sz w:val="36"/>
          <w:szCs w:val="36"/>
        </w:rPr>
        <w:t>235.84</w:t>
      </w:r>
      <w:r w:rsidR="00E15119" w:rsidRPr="00986A21">
        <w:rPr>
          <w:rFonts w:ascii="仿宋" w:eastAsia="仿宋" w:hAnsi="仿宋" w:hint="eastAsia"/>
          <w:b/>
          <w:sz w:val="36"/>
          <w:szCs w:val="36"/>
        </w:rPr>
        <w:t>万元，减</w:t>
      </w:r>
      <w:r w:rsidR="00E2787C">
        <w:rPr>
          <w:rFonts w:ascii="仿宋" w:eastAsia="仿宋" w:hAnsi="仿宋" w:hint="eastAsia"/>
          <w:b/>
          <w:sz w:val="36"/>
          <w:szCs w:val="36"/>
        </w:rPr>
        <w:t>39.63</w:t>
      </w:r>
      <w:r w:rsidRPr="00986A21">
        <w:rPr>
          <w:rFonts w:ascii="仿宋" w:eastAsia="仿宋" w:hAnsi="仿宋" w:hint="eastAsia"/>
          <w:b/>
          <w:sz w:val="36"/>
          <w:szCs w:val="36"/>
        </w:rPr>
        <w:t>％。</w:t>
      </w:r>
    </w:p>
    <w:p w:rsidR="00AC3A4A" w:rsidRPr="00986A21" w:rsidRDefault="00AC3A4A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(2)教育支出累计完成</w:t>
      </w:r>
      <w:r w:rsidR="00E2787C">
        <w:rPr>
          <w:rFonts w:ascii="仿宋" w:eastAsia="仿宋" w:hAnsi="仿宋" w:hint="eastAsia"/>
          <w:b/>
          <w:sz w:val="36"/>
          <w:szCs w:val="36"/>
        </w:rPr>
        <w:t>31.43</w:t>
      </w:r>
      <w:r w:rsidRPr="00986A21">
        <w:rPr>
          <w:rFonts w:ascii="仿宋" w:eastAsia="仿宋" w:hAnsi="仿宋" w:hint="eastAsia"/>
          <w:b/>
          <w:sz w:val="36"/>
          <w:szCs w:val="36"/>
        </w:rPr>
        <w:t>万元，比上年的</w:t>
      </w:r>
      <w:r w:rsidR="00E2787C" w:rsidRPr="00986A21">
        <w:rPr>
          <w:rFonts w:ascii="仿宋" w:eastAsia="仿宋" w:hAnsi="仿宋" w:hint="eastAsia"/>
          <w:b/>
          <w:sz w:val="36"/>
          <w:szCs w:val="36"/>
        </w:rPr>
        <w:t>36.8</w:t>
      </w:r>
      <w:r w:rsidRPr="00986A21">
        <w:rPr>
          <w:rFonts w:ascii="仿宋" w:eastAsia="仿宋" w:hAnsi="仿宋" w:hint="eastAsia"/>
          <w:b/>
          <w:sz w:val="36"/>
          <w:szCs w:val="36"/>
        </w:rPr>
        <w:t>万元</w:t>
      </w:r>
      <w:r w:rsidR="00E15119" w:rsidRPr="00986A21">
        <w:rPr>
          <w:rFonts w:ascii="仿宋" w:eastAsia="仿宋" w:hAnsi="仿宋" w:hint="eastAsia"/>
          <w:b/>
          <w:sz w:val="36"/>
          <w:szCs w:val="36"/>
        </w:rPr>
        <w:t>减</w:t>
      </w:r>
      <w:r w:rsidR="00920C9D">
        <w:rPr>
          <w:rFonts w:ascii="仿宋" w:eastAsia="仿宋" w:hAnsi="仿宋" w:hint="eastAsia"/>
          <w:b/>
          <w:sz w:val="36"/>
          <w:szCs w:val="36"/>
        </w:rPr>
        <w:t>5.37</w:t>
      </w:r>
      <w:r w:rsidRPr="00986A21">
        <w:rPr>
          <w:rFonts w:ascii="仿宋" w:eastAsia="仿宋" w:hAnsi="仿宋" w:hint="eastAsia"/>
          <w:b/>
          <w:sz w:val="36"/>
          <w:szCs w:val="36"/>
        </w:rPr>
        <w:t>万元，</w:t>
      </w:r>
      <w:r w:rsidR="00407609" w:rsidRPr="00986A21">
        <w:rPr>
          <w:rFonts w:ascii="仿宋" w:eastAsia="仿宋" w:hAnsi="仿宋" w:hint="eastAsia"/>
          <w:b/>
          <w:sz w:val="36"/>
          <w:szCs w:val="36"/>
        </w:rPr>
        <w:t>减</w:t>
      </w:r>
      <w:r w:rsidR="00920C9D">
        <w:rPr>
          <w:rFonts w:ascii="仿宋" w:eastAsia="仿宋" w:hAnsi="仿宋" w:hint="eastAsia"/>
          <w:b/>
          <w:sz w:val="36"/>
          <w:szCs w:val="36"/>
        </w:rPr>
        <w:t>17.08</w:t>
      </w:r>
      <w:r w:rsidRPr="00986A21">
        <w:rPr>
          <w:rFonts w:ascii="仿宋" w:eastAsia="仿宋" w:hAnsi="仿宋" w:hint="eastAsia"/>
          <w:b/>
          <w:sz w:val="36"/>
          <w:szCs w:val="36"/>
        </w:rPr>
        <w:t>%。</w:t>
      </w:r>
    </w:p>
    <w:p w:rsidR="00AC3A4A" w:rsidRPr="00986A21" w:rsidRDefault="00AC3A4A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(3)科学技术支出累计完成</w:t>
      </w:r>
      <w:r w:rsidR="00920C9D">
        <w:rPr>
          <w:rFonts w:ascii="仿宋" w:eastAsia="仿宋" w:hAnsi="仿宋" w:hint="eastAsia"/>
          <w:b/>
          <w:sz w:val="36"/>
          <w:szCs w:val="36"/>
        </w:rPr>
        <w:t>11.35</w:t>
      </w:r>
      <w:r w:rsidRPr="00986A21">
        <w:rPr>
          <w:rFonts w:ascii="仿宋" w:eastAsia="仿宋" w:hAnsi="仿宋" w:hint="eastAsia"/>
          <w:b/>
          <w:sz w:val="36"/>
          <w:szCs w:val="36"/>
        </w:rPr>
        <w:t>万元，比上年的</w:t>
      </w:r>
      <w:r w:rsidR="00920C9D">
        <w:rPr>
          <w:rFonts w:ascii="仿宋" w:eastAsia="仿宋" w:hAnsi="仿宋" w:hint="eastAsia"/>
          <w:b/>
          <w:sz w:val="36"/>
          <w:szCs w:val="36"/>
        </w:rPr>
        <w:t>13.7</w:t>
      </w:r>
      <w:r w:rsidRPr="00986A21">
        <w:rPr>
          <w:rFonts w:ascii="仿宋" w:eastAsia="仿宋" w:hAnsi="仿宋" w:hint="eastAsia"/>
          <w:b/>
          <w:sz w:val="36"/>
          <w:szCs w:val="36"/>
        </w:rPr>
        <w:t>万元增</w:t>
      </w:r>
      <w:r w:rsidR="00920C9D">
        <w:rPr>
          <w:rFonts w:ascii="仿宋" w:eastAsia="仿宋" w:hAnsi="仿宋" w:hint="eastAsia"/>
          <w:b/>
          <w:sz w:val="36"/>
          <w:szCs w:val="36"/>
        </w:rPr>
        <w:t>2.35</w:t>
      </w:r>
      <w:r w:rsidRPr="00986A21">
        <w:rPr>
          <w:rFonts w:ascii="仿宋" w:eastAsia="仿宋" w:hAnsi="仿宋" w:hint="eastAsia"/>
          <w:b/>
          <w:sz w:val="36"/>
          <w:szCs w:val="36"/>
        </w:rPr>
        <w:t>万元，增</w:t>
      </w:r>
      <w:r w:rsidR="00920C9D">
        <w:rPr>
          <w:rFonts w:ascii="仿宋" w:eastAsia="仿宋" w:hAnsi="仿宋" w:hint="eastAsia"/>
          <w:b/>
          <w:sz w:val="36"/>
          <w:szCs w:val="36"/>
        </w:rPr>
        <w:t>20.70</w:t>
      </w:r>
      <w:r w:rsidRPr="00986A21">
        <w:rPr>
          <w:rFonts w:ascii="仿宋" w:eastAsia="仿宋" w:hAnsi="仿宋" w:hint="eastAsia"/>
          <w:b/>
          <w:sz w:val="36"/>
          <w:szCs w:val="36"/>
        </w:rPr>
        <w:t>%。</w:t>
      </w:r>
    </w:p>
    <w:p w:rsidR="00AC3A4A" w:rsidRPr="00986A21" w:rsidRDefault="00AC3A4A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lastRenderedPageBreak/>
        <w:t>(4)文化体育与传媒支出累计完成</w:t>
      </w:r>
      <w:r w:rsidR="00920C9D">
        <w:rPr>
          <w:rFonts w:ascii="仿宋" w:eastAsia="仿宋" w:hAnsi="仿宋" w:hint="eastAsia"/>
          <w:b/>
          <w:sz w:val="36"/>
          <w:szCs w:val="36"/>
        </w:rPr>
        <w:t>25.56</w:t>
      </w:r>
      <w:r w:rsidRPr="00986A21">
        <w:rPr>
          <w:rFonts w:ascii="仿宋" w:eastAsia="仿宋" w:hAnsi="仿宋" w:hint="eastAsia"/>
          <w:b/>
          <w:sz w:val="36"/>
          <w:szCs w:val="36"/>
        </w:rPr>
        <w:t>万元，比上年的</w:t>
      </w:r>
      <w:r w:rsidR="00920C9D">
        <w:rPr>
          <w:rFonts w:ascii="仿宋" w:eastAsia="仿宋" w:hAnsi="仿宋" w:hint="eastAsia"/>
          <w:b/>
          <w:sz w:val="36"/>
          <w:szCs w:val="36"/>
        </w:rPr>
        <w:t>17.9</w:t>
      </w:r>
      <w:r w:rsidRPr="00986A21">
        <w:rPr>
          <w:rFonts w:ascii="仿宋" w:eastAsia="仿宋" w:hAnsi="仿宋" w:hint="eastAsia"/>
          <w:b/>
          <w:sz w:val="36"/>
          <w:szCs w:val="36"/>
        </w:rPr>
        <w:t>万元</w:t>
      </w:r>
      <w:r w:rsidR="00920C9D">
        <w:rPr>
          <w:rFonts w:ascii="仿宋" w:eastAsia="仿宋" w:hAnsi="仿宋" w:hint="eastAsia"/>
          <w:b/>
          <w:sz w:val="36"/>
          <w:szCs w:val="36"/>
        </w:rPr>
        <w:t>增7.66</w:t>
      </w:r>
      <w:r w:rsidRPr="00986A21">
        <w:rPr>
          <w:rFonts w:ascii="仿宋" w:eastAsia="仿宋" w:hAnsi="仿宋" w:hint="eastAsia"/>
          <w:b/>
          <w:sz w:val="36"/>
          <w:szCs w:val="36"/>
        </w:rPr>
        <w:t>万元，</w:t>
      </w:r>
      <w:r w:rsidR="00920C9D">
        <w:rPr>
          <w:rFonts w:ascii="仿宋" w:eastAsia="仿宋" w:hAnsi="仿宋" w:hint="eastAsia"/>
          <w:b/>
          <w:sz w:val="36"/>
          <w:szCs w:val="36"/>
        </w:rPr>
        <w:t>增29.97</w:t>
      </w:r>
      <w:r w:rsidRPr="00986A21">
        <w:rPr>
          <w:rFonts w:ascii="仿宋" w:eastAsia="仿宋" w:hAnsi="仿宋" w:hint="eastAsia"/>
          <w:b/>
          <w:sz w:val="36"/>
          <w:szCs w:val="36"/>
        </w:rPr>
        <w:t>%。</w:t>
      </w:r>
    </w:p>
    <w:p w:rsidR="00AC3A4A" w:rsidRPr="00986A21" w:rsidRDefault="00AC3A4A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(5)社会保障和就业累计完成</w:t>
      </w:r>
      <w:r w:rsidR="00920C9D">
        <w:rPr>
          <w:rFonts w:ascii="仿宋" w:eastAsia="仿宋" w:hAnsi="仿宋" w:hint="eastAsia"/>
          <w:b/>
          <w:sz w:val="36"/>
          <w:szCs w:val="36"/>
        </w:rPr>
        <w:t>226.44</w:t>
      </w:r>
      <w:r w:rsidRPr="00986A21">
        <w:rPr>
          <w:rFonts w:ascii="仿宋" w:eastAsia="仿宋" w:hAnsi="仿宋" w:hint="eastAsia"/>
          <w:b/>
          <w:sz w:val="36"/>
          <w:szCs w:val="36"/>
        </w:rPr>
        <w:t>万元,比上年的</w:t>
      </w:r>
      <w:r w:rsidR="00920C9D" w:rsidRPr="00986A21">
        <w:rPr>
          <w:rFonts w:ascii="仿宋" w:eastAsia="仿宋" w:hAnsi="仿宋" w:hint="eastAsia"/>
          <w:b/>
          <w:sz w:val="36"/>
          <w:szCs w:val="36"/>
        </w:rPr>
        <w:t>220.8</w:t>
      </w:r>
      <w:r w:rsidRPr="00986A21">
        <w:rPr>
          <w:rFonts w:ascii="仿宋" w:eastAsia="仿宋" w:hAnsi="仿宋" w:hint="eastAsia"/>
          <w:b/>
          <w:sz w:val="36"/>
          <w:szCs w:val="36"/>
        </w:rPr>
        <w:t>万元</w:t>
      </w:r>
      <w:r w:rsidR="00920C9D">
        <w:rPr>
          <w:rFonts w:ascii="仿宋" w:eastAsia="仿宋" w:hAnsi="仿宋" w:hint="eastAsia"/>
          <w:b/>
          <w:sz w:val="36"/>
          <w:szCs w:val="36"/>
        </w:rPr>
        <w:t>增5.64</w:t>
      </w:r>
      <w:r w:rsidR="00F25F94" w:rsidRPr="00986A21">
        <w:rPr>
          <w:rFonts w:ascii="仿宋" w:eastAsia="仿宋" w:hAnsi="仿宋" w:hint="eastAsia"/>
          <w:b/>
          <w:sz w:val="36"/>
          <w:szCs w:val="36"/>
        </w:rPr>
        <w:t>万元，</w:t>
      </w:r>
      <w:r w:rsidR="00920C9D">
        <w:rPr>
          <w:rFonts w:ascii="仿宋" w:eastAsia="仿宋" w:hAnsi="仿宋" w:hint="eastAsia"/>
          <w:b/>
          <w:sz w:val="36"/>
          <w:szCs w:val="36"/>
        </w:rPr>
        <w:t>增2.4</w:t>
      </w:r>
      <w:r w:rsidRPr="00986A21">
        <w:rPr>
          <w:rFonts w:ascii="仿宋" w:eastAsia="仿宋" w:hAnsi="仿宋" w:hint="eastAsia"/>
          <w:b/>
          <w:sz w:val="36"/>
          <w:szCs w:val="36"/>
        </w:rPr>
        <w:t>%。</w:t>
      </w:r>
    </w:p>
    <w:p w:rsidR="00AC3A4A" w:rsidRPr="00986A21" w:rsidRDefault="00AC3A4A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(6)医疗卫生支出累计完成</w:t>
      </w:r>
      <w:r w:rsidR="00920C9D">
        <w:rPr>
          <w:rFonts w:ascii="仿宋" w:eastAsia="仿宋" w:hAnsi="仿宋" w:hint="eastAsia"/>
          <w:b/>
          <w:sz w:val="36"/>
          <w:szCs w:val="36"/>
        </w:rPr>
        <w:t>166.53</w:t>
      </w:r>
      <w:r w:rsidRPr="00986A21">
        <w:rPr>
          <w:rFonts w:ascii="仿宋" w:eastAsia="仿宋" w:hAnsi="仿宋" w:hint="eastAsia"/>
          <w:b/>
          <w:sz w:val="36"/>
          <w:szCs w:val="36"/>
        </w:rPr>
        <w:t>万元，比上年</w:t>
      </w:r>
      <w:r w:rsidR="00EA7153" w:rsidRPr="00986A21">
        <w:rPr>
          <w:rFonts w:ascii="仿宋" w:eastAsia="仿宋" w:hAnsi="仿宋" w:hint="eastAsia"/>
          <w:b/>
          <w:sz w:val="36"/>
          <w:szCs w:val="36"/>
        </w:rPr>
        <w:t>增</w:t>
      </w:r>
      <w:r w:rsidRPr="00986A21">
        <w:rPr>
          <w:rFonts w:ascii="仿宋" w:eastAsia="仿宋" w:hAnsi="仿宋" w:hint="eastAsia"/>
          <w:b/>
          <w:sz w:val="36"/>
          <w:szCs w:val="36"/>
        </w:rPr>
        <w:t>的</w:t>
      </w:r>
      <w:r w:rsidR="00920C9D" w:rsidRPr="00986A21">
        <w:rPr>
          <w:rFonts w:ascii="仿宋" w:eastAsia="仿宋" w:hAnsi="仿宋" w:hint="eastAsia"/>
          <w:b/>
          <w:sz w:val="36"/>
          <w:szCs w:val="36"/>
        </w:rPr>
        <w:t>109.7</w:t>
      </w:r>
      <w:r w:rsidRPr="00986A21">
        <w:rPr>
          <w:rFonts w:ascii="仿宋" w:eastAsia="仿宋" w:hAnsi="仿宋" w:hint="eastAsia"/>
          <w:b/>
          <w:sz w:val="36"/>
          <w:szCs w:val="36"/>
        </w:rPr>
        <w:t>万元</w:t>
      </w:r>
      <w:r w:rsidR="00920C9D">
        <w:rPr>
          <w:rFonts w:ascii="仿宋" w:eastAsia="仿宋" w:hAnsi="仿宋" w:hint="eastAsia"/>
          <w:b/>
          <w:sz w:val="36"/>
          <w:szCs w:val="36"/>
        </w:rPr>
        <w:t>增56.83</w:t>
      </w:r>
      <w:r w:rsidRPr="00986A21">
        <w:rPr>
          <w:rFonts w:ascii="仿宋" w:eastAsia="仿宋" w:hAnsi="仿宋" w:hint="eastAsia"/>
          <w:b/>
          <w:sz w:val="36"/>
          <w:szCs w:val="36"/>
        </w:rPr>
        <w:t>万元,</w:t>
      </w:r>
      <w:r w:rsidR="00920C9D" w:rsidRPr="00920C9D">
        <w:rPr>
          <w:rFonts w:ascii="仿宋" w:eastAsia="仿宋" w:hAnsi="仿宋" w:hint="eastAsia"/>
          <w:b/>
          <w:sz w:val="36"/>
          <w:szCs w:val="36"/>
        </w:rPr>
        <w:t xml:space="preserve"> </w:t>
      </w:r>
      <w:r w:rsidR="00920C9D">
        <w:rPr>
          <w:rFonts w:ascii="仿宋" w:eastAsia="仿宋" w:hAnsi="仿宋" w:hint="eastAsia"/>
          <w:b/>
          <w:sz w:val="36"/>
          <w:szCs w:val="36"/>
        </w:rPr>
        <w:t>增34.13</w:t>
      </w:r>
      <w:r w:rsidRPr="00986A21">
        <w:rPr>
          <w:rFonts w:ascii="仿宋" w:eastAsia="仿宋" w:hAnsi="仿宋" w:hint="eastAsia"/>
          <w:b/>
          <w:sz w:val="36"/>
          <w:szCs w:val="36"/>
        </w:rPr>
        <w:t>%。</w:t>
      </w:r>
    </w:p>
    <w:p w:rsidR="00AC3A4A" w:rsidRPr="00986A21" w:rsidRDefault="00920C9D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(7</w:t>
      </w:r>
      <w:r w:rsidR="00AC3A4A" w:rsidRPr="00986A21">
        <w:rPr>
          <w:rFonts w:ascii="仿宋" w:eastAsia="仿宋" w:hAnsi="仿宋" w:hint="eastAsia"/>
          <w:b/>
          <w:sz w:val="36"/>
          <w:szCs w:val="36"/>
        </w:rPr>
        <w:t>)城乡社区事务累计完成</w:t>
      </w:r>
      <w:r>
        <w:rPr>
          <w:rFonts w:ascii="仿宋" w:eastAsia="仿宋" w:hAnsi="仿宋" w:hint="eastAsia"/>
          <w:b/>
          <w:sz w:val="36"/>
          <w:szCs w:val="36"/>
        </w:rPr>
        <w:t>181.55</w:t>
      </w:r>
      <w:r w:rsidR="00AC3A4A" w:rsidRPr="00986A21">
        <w:rPr>
          <w:rFonts w:ascii="仿宋" w:eastAsia="仿宋" w:hAnsi="仿宋" w:hint="eastAsia"/>
          <w:b/>
          <w:sz w:val="36"/>
          <w:szCs w:val="36"/>
        </w:rPr>
        <w:t>万元，比上年的</w:t>
      </w:r>
      <w:r w:rsidRPr="00986A21">
        <w:rPr>
          <w:rFonts w:ascii="仿宋" w:eastAsia="仿宋" w:hAnsi="仿宋" w:hint="eastAsia"/>
          <w:b/>
          <w:sz w:val="36"/>
          <w:szCs w:val="36"/>
        </w:rPr>
        <w:t>206.5</w:t>
      </w:r>
      <w:r w:rsidR="00AC3A4A" w:rsidRPr="00986A21">
        <w:rPr>
          <w:rFonts w:ascii="仿宋" w:eastAsia="仿宋" w:hAnsi="仿宋" w:hint="eastAsia"/>
          <w:b/>
          <w:sz w:val="36"/>
          <w:szCs w:val="36"/>
        </w:rPr>
        <w:t>万元</w:t>
      </w:r>
      <w:r>
        <w:rPr>
          <w:rFonts w:ascii="仿宋" w:eastAsia="仿宋" w:hAnsi="仿宋" w:hint="eastAsia"/>
          <w:b/>
          <w:sz w:val="36"/>
          <w:szCs w:val="36"/>
        </w:rPr>
        <w:t>减24.95</w:t>
      </w:r>
      <w:r w:rsidR="00AC3A4A" w:rsidRPr="00986A21">
        <w:rPr>
          <w:rFonts w:ascii="仿宋" w:eastAsia="仿宋" w:hAnsi="仿宋" w:hint="eastAsia"/>
          <w:b/>
          <w:sz w:val="36"/>
          <w:szCs w:val="36"/>
        </w:rPr>
        <w:t>万元，</w:t>
      </w:r>
      <w:r>
        <w:rPr>
          <w:rFonts w:ascii="仿宋" w:eastAsia="仿宋" w:hAnsi="仿宋" w:hint="eastAsia"/>
          <w:b/>
          <w:sz w:val="36"/>
          <w:szCs w:val="36"/>
        </w:rPr>
        <w:t>减17.74</w:t>
      </w:r>
      <w:r w:rsidR="00AC3A4A" w:rsidRPr="00986A21">
        <w:rPr>
          <w:rFonts w:ascii="仿宋" w:eastAsia="仿宋" w:hAnsi="仿宋" w:hint="eastAsia"/>
          <w:b/>
          <w:sz w:val="36"/>
          <w:szCs w:val="36"/>
        </w:rPr>
        <w:t xml:space="preserve">%. </w:t>
      </w:r>
    </w:p>
    <w:p w:rsidR="00AC3A4A" w:rsidRPr="00986A21" w:rsidRDefault="00920C9D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(8</w:t>
      </w:r>
      <w:r w:rsidR="00AC3A4A" w:rsidRPr="00986A21">
        <w:rPr>
          <w:rFonts w:ascii="仿宋" w:eastAsia="仿宋" w:hAnsi="仿宋" w:hint="eastAsia"/>
          <w:b/>
          <w:sz w:val="36"/>
          <w:szCs w:val="36"/>
        </w:rPr>
        <w:t>)农林水事务累计完成</w:t>
      </w:r>
      <w:r>
        <w:rPr>
          <w:rFonts w:ascii="仿宋" w:eastAsia="仿宋" w:hAnsi="仿宋" w:hint="eastAsia"/>
          <w:b/>
          <w:sz w:val="36"/>
          <w:szCs w:val="36"/>
        </w:rPr>
        <w:t>318.79</w:t>
      </w:r>
      <w:r w:rsidR="00AC3A4A" w:rsidRPr="00986A21">
        <w:rPr>
          <w:rFonts w:ascii="仿宋" w:eastAsia="仿宋" w:hAnsi="仿宋" w:hint="eastAsia"/>
          <w:b/>
          <w:sz w:val="36"/>
          <w:szCs w:val="36"/>
        </w:rPr>
        <w:t>万元,比上年的</w:t>
      </w:r>
      <w:r w:rsidRPr="00986A21">
        <w:rPr>
          <w:rFonts w:ascii="仿宋" w:eastAsia="仿宋" w:hAnsi="仿宋" w:hint="eastAsia"/>
          <w:b/>
          <w:sz w:val="36"/>
          <w:szCs w:val="36"/>
        </w:rPr>
        <w:t>709.4</w:t>
      </w:r>
      <w:r w:rsidR="00AC3A4A" w:rsidRPr="00986A21">
        <w:rPr>
          <w:rFonts w:ascii="仿宋" w:eastAsia="仿宋" w:hAnsi="仿宋" w:hint="eastAsia"/>
          <w:b/>
          <w:sz w:val="36"/>
          <w:szCs w:val="36"/>
        </w:rPr>
        <w:t>万元</w:t>
      </w:r>
      <w:r w:rsidR="00184CA9" w:rsidRPr="00986A21">
        <w:rPr>
          <w:rFonts w:ascii="仿宋" w:eastAsia="仿宋" w:hAnsi="仿宋" w:hint="eastAsia"/>
          <w:b/>
          <w:sz w:val="36"/>
          <w:szCs w:val="36"/>
        </w:rPr>
        <w:t>减少</w:t>
      </w:r>
      <w:r>
        <w:rPr>
          <w:rFonts w:ascii="仿宋" w:eastAsia="仿宋" w:hAnsi="仿宋" w:hint="eastAsia"/>
          <w:b/>
          <w:sz w:val="36"/>
          <w:szCs w:val="36"/>
        </w:rPr>
        <w:t>390.61</w:t>
      </w:r>
      <w:r w:rsidR="00AC3A4A" w:rsidRPr="00986A21">
        <w:rPr>
          <w:rFonts w:ascii="仿宋" w:eastAsia="仿宋" w:hAnsi="仿宋" w:hint="eastAsia"/>
          <w:b/>
          <w:sz w:val="36"/>
          <w:szCs w:val="36"/>
        </w:rPr>
        <w:t>万元，</w:t>
      </w:r>
      <w:r w:rsidR="00184CA9" w:rsidRPr="00986A21">
        <w:rPr>
          <w:rFonts w:ascii="仿宋" w:eastAsia="仿宋" w:hAnsi="仿宋" w:hint="eastAsia"/>
          <w:b/>
          <w:sz w:val="36"/>
          <w:szCs w:val="36"/>
        </w:rPr>
        <w:t>减</w:t>
      </w:r>
      <w:r>
        <w:rPr>
          <w:rFonts w:ascii="仿宋" w:eastAsia="仿宋" w:hAnsi="仿宋" w:hint="eastAsia"/>
          <w:b/>
          <w:sz w:val="36"/>
          <w:szCs w:val="36"/>
        </w:rPr>
        <w:t>122.5</w:t>
      </w:r>
      <w:r w:rsidR="00AC3A4A" w:rsidRPr="00986A21">
        <w:rPr>
          <w:rFonts w:ascii="仿宋" w:eastAsia="仿宋" w:hAnsi="仿宋" w:hint="eastAsia"/>
          <w:b/>
          <w:sz w:val="36"/>
          <w:szCs w:val="36"/>
        </w:rPr>
        <w:t>%。</w:t>
      </w:r>
    </w:p>
    <w:p w:rsidR="00AC3A4A" w:rsidRPr="00986A21" w:rsidRDefault="00AC3A4A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(</w:t>
      </w:r>
      <w:r w:rsidR="00920C9D">
        <w:rPr>
          <w:rFonts w:ascii="仿宋" w:eastAsia="仿宋" w:hAnsi="仿宋" w:hint="eastAsia"/>
          <w:b/>
          <w:sz w:val="36"/>
          <w:szCs w:val="36"/>
        </w:rPr>
        <w:t>9</w:t>
      </w:r>
      <w:r w:rsidRPr="00986A21">
        <w:rPr>
          <w:rFonts w:ascii="仿宋" w:eastAsia="仿宋" w:hAnsi="仿宋" w:hint="eastAsia"/>
          <w:b/>
          <w:sz w:val="36"/>
          <w:szCs w:val="36"/>
        </w:rPr>
        <w:t>) 资源勘探电力信息等事务支出累计完成</w:t>
      </w:r>
      <w:r w:rsidR="00920C9D">
        <w:rPr>
          <w:rFonts w:ascii="仿宋" w:eastAsia="仿宋" w:hAnsi="仿宋" w:hint="eastAsia"/>
          <w:b/>
          <w:sz w:val="36"/>
          <w:szCs w:val="36"/>
        </w:rPr>
        <w:t>18.9</w:t>
      </w:r>
      <w:r w:rsidRPr="00986A21">
        <w:rPr>
          <w:rFonts w:ascii="仿宋" w:eastAsia="仿宋" w:hAnsi="仿宋" w:hint="eastAsia"/>
          <w:b/>
          <w:sz w:val="36"/>
          <w:szCs w:val="36"/>
        </w:rPr>
        <w:t>万元，比上年的</w:t>
      </w:r>
      <w:r w:rsidR="00920C9D">
        <w:rPr>
          <w:rFonts w:ascii="仿宋" w:eastAsia="仿宋" w:hAnsi="仿宋" w:hint="eastAsia"/>
          <w:b/>
          <w:sz w:val="36"/>
          <w:szCs w:val="36"/>
        </w:rPr>
        <w:t>16</w:t>
      </w:r>
      <w:r w:rsidRPr="00986A21">
        <w:rPr>
          <w:rFonts w:ascii="仿宋" w:eastAsia="仿宋" w:hAnsi="仿宋" w:hint="eastAsia"/>
          <w:b/>
          <w:sz w:val="36"/>
          <w:szCs w:val="36"/>
        </w:rPr>
        <w:t>万元</w:t>
      </w:r>
      <w:r w:rsidR="009B2B46" w:rsidRPr="00986A21">
        <w:rPr>
          <w:rFonts w:ascii="仿宋" w:eastAsia="仿宋" w:hAnsi="仿宋" w:hint="eastAsia"/>
          <w:b/>
          <w:sz w:val="36"/>
          <w:szCs w:val="36"/>
        </w:rPr>
        <w:t>增</w:t>
      </w:r>
      <w:r w:rsidR="00920C9D">
        <w:rPr>
          <w:rFonts w:ascii="仿宋" w:eastAsia="仿宋" w:hAnsi="仿宋" w:hint="eastAsia"/>
          <w:b/>
          <w:sz w:val="36"/>
          <w:szCs w:val="36"/>
        </w:rPr>
        <w:t>2.9</w:t>
      </w:r>
      <w:r w:rsidRPr="00986A21">
        <w:rPr>
          <w:rFonts w:ascii="仿宋" w:eastAsia="仿宋" w:hAnsi="仿宋" w:hint="eastAsia"/>
          <w:b/>
          <w:sz w:val="36"/>
          <w:szCs w:val="36"/>
        </w:rPr>
        <w:t>万元，</w:t>
      </w:r>
      <w:r w:rsidR="00184CA9" w:rsidRPr="00986A21">
        <w:rPr>
          <w:rFonts w:ascii="仿宋" w:eastAsia="仿宋" w:hAnsi="仿宋" w:hint="eastAsia"/>
          <w:b/>
          <w:sz w:val="36"/>
          <w:szCs w:val="36"/>
        </w:rPr>
        <w:t>增</w:t>
      </w:r>
      <w:r w:rsidR="00920C9D">
        <w:rPr>
          <w:rFonts w:ascii="仿宋" w:eastAsia="仿宋" w:hAnsi="仿宋" w:hint="eastAsia"/>
          <w:b/>
          <w:sz w:val="36"/>
          <w:szCs w:val="36"/>
        </w:rPr>
        <w:t>15.34</w:t>
      </w:r>
      <w:r w:rsidRPr="00986A21">
        <w:rPr>
          <w:rFonts w:ascii="仿宋" w:eastAsia="仿宋" w:hAnsi="仿宋" w:hint="eastAsia"/>
          <w:b/>
          <w:sz w:val="36"/>
          <w:szCs w:val="36"/>
        </w:rPr>
        <w:t>%。</w:t>
      </w:r>
    </w:p>
    <w:p w:rsidR="00AC3A4A" w:rsidRPr="00986A21" w:rsidRDefault="00920C9D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(10</w:t>
      </w:r>
      <w:r w:rsidR="00AC3A4A" w:rsidRPr="00986A21">
        <w:rPr>
          <w:rFonts w:ascii="仿宋" w:eastAsia="仿宋" w:hAnsi="仿宋" w:hint="eastAsia"/>
          <w:b/>
          <w:sz w:val="36"/>
          <w:szCs w:val="36"/>
        </w:rPr>
        <w:t xml:space="preserve">) </w:t>
      </w:r>
      <w:r w:rsidR="00AE746B" w:rsidRPr="00986A21">
        <w:rPr>
          <w:rFonts w:ascii="仿宋" w:eastAsia="仿宋" w:hAnsi="仿宋" w:hint="eastAsia"/>
          <w:b/>
          <w:sz w:val="36"/>
          <w:szCs w:val="36"/>
        </w:rPr>
        <w:t>其它</w:t>
      </w:r>
      <w:r w:rsidR="00AC3A4A" w:rsidRPr="00986A21">
        <w:rPr>
          <w:rFonts w:ascii="仿宋" w:eastAsia="仿宋" w:hAnsi="仿宋" w:hint="eastAsia"/>
          <w:b/>
          <w:sz w:val="36"/>
          <w:szCs w:val="36"/>
        </w:rPr>
        <w:t>支出累计完成</w:t>
      </w:r>
      <w:r>
        <w:rPr>
          <w:rFonts w:ascii="仿宋" w:eastAsia="仿宋" w:hAnsi="仿宋" w:hint="eastAsia"/>
          <w:b/>
          <w:sz w:val="36"/>
          <w:szCs w:val="36"/>
        </w:rPr>
        <w:t>20</w:t>
      </w:r>
      <w:r w:rsidR="00184CA9" w:rsidRPr="00986A21">
        <w:rPr>
          <w:rFonts w:ascii="仿宋" w:eastAsia="仿宋" w:hAnsi="仿宋" w:hint="eastAsia"/>
          <w:b/>
          <w:sz w:val="36"/>
          <w:szCs w:val="36"/>
        </w:rPr>
        <w:t>万元，比上年的</w:t>
      </w:r>
      <w:r>
        <w:rPr>
          <w:rFonts w:ascii="仿宋" w:eastAsia="仿宋" w:hAnsi="仿宋" w:hint="eastAsia"/>
          <w:b/>
          <w:sz w:val="36"/>
          <w:szCs w:val="36"/>
        </w:rPr>
        <w:t>62</w:t>
      </w:r>
      <w:r w:rsidR="00184CA9" w:rsidRPr="00986A21">
        <w:rPr>
          <w:rFonts w:ascii="仿宋" w:eastAsia="仿宋" w:hAnsi="仿宋" w:hint="eastAsia"/>
          <w:b/>
          <w:sz w:val="36"/>
          <w:szCs w:val="36"/>
        </w:rPr>
        <w:t>万元减少</w:t>
      </w:r>
      <w:r>
        <w:rPr>
          <w:rFonts w:ascii="仿宋" w:eastAsia="仿宋" w:hAnsi="仿宋" w:hint="eastAsia"/>
          <w:b/>
          <w:sz w:val="36"/>
          <w:szCs w:val="36"/>
        </w:rPr>
        <w:t>42</w:t>
      </w:r>
      <w:r w:rsidR="00184CA9" w:rsidRPr="00986A21">
        <w:rPr>
          <w:rFonts w:ascii="仿宋" w:eastAsia="仿宋" w:hAnsi="仿宋" w:hint="eastAsia"/>
          <w:b/>
          <w:sz w:val="36"/>
          <w:szCs w:val="36"/>
        </w:rPr>
        <w:t>万元，减</w:t>
      </w:r>
      <w:r>
        <w:rPr>
          <w:rFonts w:ascii="仿宋" w:eastAsia="仿宋" w:hAnsi="仿宋" w:hint="eastAsia"/>
          <w:b/>
          <w:sz w:val="36"/>
          <w:szCs w:val="36"/>
        </w:rPr>
        <w:t>211</w:t>
      </w:r>
      <w:r w:rsidR="00184CA9" w:rsidRPr="00986A21">
        <w:rPr>
          <w:rFonts w:ascii="仿宋" w:eastAsia="仿宋" w:hAnsi="仿宋" w:hint="eastAsia"/>
          <w:b/>
          <w:sz w:val="36"/>
          <w:szCs w:val="36"/>
        </w:rPr>
        <w:t>%。</w:t>
      </w:r>
    </w:p>
    <w:p w:rsidR="0032547B" w:rsidRPr="00986A21" w:rsidRDefault="00920C9D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(11</w:t>
      </w:r>
      <w:r w:rsidR="00AC3A4A" w:rsidRPr="00986A21">
        <w:rPr>
          <w:rFonts w:ascii="仿宋" w:eastAsia="仿宋" w:hAnsi="仿宋" w:hint="eastAsia"/>
          <w:b/>
          <w:sz w:val="36"/>
          <w:szCs w:val="36"/>
        </w:rPr>
        <w:t>)住房保障支出累计完成</w:t>
      </w:r>
      <w:r>
        <w:rPr>
          <w:rFonts w:ascii="仿宋" w:eastAsia="仿宋" w:hAnsi="仿宋" w:hint="eastAsia"/>
          <w:b/>
          <w:sz w:val="36"/>
          <w:szCs w:val="36"/>
        </w:rPr>
        <w:t>79.88</w:t>
      </w:r>
      <w:r w:rsidR="00AC3A4A" w:rsidRPr="00986A21">
        <w:rPr>
          <w:rFonts w:ascii="仿宋" w:eastAsia="仿宋" w:hAnsi="仿宋" w:hint="eastAsia"/>
          <w:b/>
          <w:sz w:val="36"/>
          <w:szCs w:val="36"/>
        </w:rPr>
        <w:t>万元，比上年的</w:t>
      </w:r>
      <w:r>
        <w:rPr>
          <w:rFonts w:ascii="仿宋" w:eastAsia="仿宋" w:hAnsi="仿宋" w:hint="eastAsia"/>
          <w:b/>
          <w:sz w:val="36"/>
          <w:szCs w:val="36"/>
        </w:rPr>
        <w:t>87.7</w:t>
      </w:r>
      <w:r w:rsidR="00AC3A4A" w:rsidRPr="00986A21">
        <w:rPr>
          <w:rFonts w:ascii="仿宋" w:eastAsia="仿宋" w:hAnsi="仿宋" w:hint="eastAsia"/>
          <w:b/>
          <w:sz w:val="36"/>
          <w:szCs w:val="36"/>
        </w:rPr>
        <w:t>万元</w:t>
      </w:r>
      <w:r w:rsidR="009B2B46" w:rsidRPr="00986A21">
        <w:rPr>
          <w:rFonts w:ascii="仿宋" w:eastAsia="仿宋" w:hAnsi="仿宋" w:hint="eastAsia"/>
          <w:b/>
          <w:sz w:val="36"/>
          <w:szCs w:val="36"/>
        </w:rPr>
        <w:t>减</w:t>
      </w:r>
      <w:r>
        <w:rPr>
          <w:rFonts w:ascii="仿宋" w:eastAsia="仿宋" w:hAnsi="仿宋" w:hint="eastAsia"/>
          <w:b/>
          <w:sz w:val="36"/>
          <w:szCs w:val="36"/>
        </w:rPr>
        <w:t>7.82</w:t>
      </w:r>
      <w:r w:rsidR="00AC3A4A" w:rsidRPr="00986A21">
        <w:rPr>
          <w:rFonts w:ascii="仿宋" w:eastAsia="仿宋" w:hAnsi="仿宋" w:hint="eastAsia"/>
          <w:b/>
          <w:sz w:val="36"/>
          <w:szCs w:val="36"/>
        </w:rPr>
        <w:t>万元，</w:t>
      </w:r>
      <w:r w:rsidRPr="00986A21">
        <w:rPr>
          <w:rFonts w:ascii="仿宋" w:eastAsia="仿宋" w:hAnsi="仿宋" w:hint="eastAsia"/>
          <w:b/>
          <w:sz w:val="36"/>
          <w:szCs w:val="36"/>
        </w:rPr>
        <w:t>减</w:t>
      </w:r>
      <w:r>
        <w:rPr>
          <w:rFonts w:ascii="仿宋" w:eastAsia="仿宋" w:hAnsi="仿宋" w:hint="eastAsia"/>
          <w:b/>
          <w:sz w:val="36"/>
          <w:szCs w:val="36"/>
        </w:rPr>
        <w:t>9.78</w:t>
      </w:r>
      <w:r w:rsidR="00AC3A4A" w:rsidRPr="00986A21">
        <w:rPr>
          <w:rFonts w:ascii="仿宋" w:eastAsia="仿宋" w:hAnsi="仿宋" w:hint="eastAsia"/>
          <w:b/>
          <w:sz w:val="36"/>
          <w:szCs w:val="36"/>
        </w:rPr>
        <w:t>%。</w:t>
      </w:r>
    </w:p>
    <w:p w:rsidR="00AC3A4A" w:rsidRPr="00986A21" w:rsidRDefault="00AC3A4A" w:rsidP="00986A21">
      <w:pPr>
        <w:ind w:firstLineChars="196" w:firstLine="708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财政拨款</w:t>
      </w:r>
      <w:r w:rsidR="00A51910" w:rsidRPr="00986A21">
        <w:rPr>
          <w:rFonts w:ascii="仿宋" w:eastAsia="仿宋" w:hAnsi="仿宋" w:hint="eastAsia"/>
          <w:b/>
          <w:sz w:val="36"/>
          <w:szCs w:val="36"/>
        </w:rPr>
        <w:t>收入</w:t>
      </w:r>
      <w:r w:rsidRPr="00986A21">
        <w:rPr>
          <w:rFonts w:ascii="仿宋" w:eastAsia="仿宋" w:hAnsi="仿宋" w:hint="eastAsia"/>
          <w:b/>
          <w:sz w:val="36"/>
          <w:szCs w:val="36"/>
        </w:rPr>
        <w:t>(按支出功能科目)与</w:t>
      </w:r>
      <w:r w:rsidR="00920C9D">
        <w:rPr>
          <w:rFonts w:ascii="仿宋" w:eastAsia="仿宋" w:hAnsi="仿宋" w:hint="eastAsia"/>
          <w:b/>
          <w:sz w:val="36"/>
          <w:szCs w:val="36"/>
        </w:rPr>
        <w:t>2016</w:t>
      </w:r>
      <w:r w:rsidRPr="00986A21">
        <w:rPr>
          <w:rFonts w:ascii="仿宋" w:eastAsia="仿宋" w:hAnsi="仿宋" w:hint="eastAsia"/>
          <w:b/>
          <w:sz w:val="36"/>
          <w:szCs w:val="36"/>
        </w:rPr>
        <w:t>年比较:</w:t>
      </w:r>
    </w:p>
    <w:p w:rsidR="00AC3A4A" w:rsidRPr="000C3A59" w:rsidRDefault="00C35538" w:rsidP="00D65F76">
      <w:pPr>
        <w:ind w:firstLineChars="200" w:firstLine="420"/>
        <w:rPr>
          <w:rFonts w:ascii="宋体" w:hAnsi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257925" cy="3200400"/>
            <wp:effectExtent l="19050" t="0" r="9525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C3A4A" w:rsidRPr="00986A21" w:rsidRDefault="00986A21" w:rsidP="00986A21">
      <w:pPr>
        <w:ind w:firstLineChars="200" w:firstLine="723"/>
        <w:rPr>
          <w:rFonts w:ascii="仿宋" w:eastAsia="仿宋" w:hAnsi="仿宋"/>
          <w:b/>
          <w:bCs/>
          <w:sz w:val="36"/>
          <w:szCs w:val="36"/>
        </w:rPr>
      </w:pPr>
      <w:r w:rsidRPr="00986A21">
        <w:rPr>
          <w:rFonts w:ascii="仿宋" w:eastAsia="仿宋" w:hAnsi="仿宋" w:hint="eastAsia"/>
          <w:b/>
          <w:bCs/>
          <w:sz w:val="36"/>
          <w:szCs w:val="36"/>
        </w:rPr>
        <w:t>2、</w:t>
      </w:r>
      <w:r w:rsidR="00AC3A4A" w:rsidRPr="00986A21">
        <w:rPr>
          <w:rFonts w:ascii="仿宋" w:eastAsia="仿宋" w:hAnsi="仿宋" w:hint="eastAsia"/>
          <w:b/>
          <w:bCs/>
          <w:sz w:val="36"/>
          <w:szCs w:val="36"/>
        </w:rPr>
        <w:t>支出情况</w:t>
      </w:r>
    </w:p>
    <w:p w:rsidR="00AC3A4A" w:rsidRPr="00986A21" w:rsidRDefault="00AC3A4A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桂山街道201</w:t>
      </w:r>
      <w:r w:rsidR="009360F5">
        <w:rPr>
          <w:rFonts w:ascii="仿宋" w:eastAsia="仿宋" w:hAnsi="仿宋" w:hint="eastAsia"/>
          <w:b/>
          <w:sz w:val="36"/>
          <w:szCs w:val="36"/>
        </w:rPr>
        <w:t>6</w:t>
      </w:r>
      <w:r w:rsidRPr="00986A21">
        <w:rPr>
          <w:rFonts w:ascii="仿宋" w:eastAsia="仿宋" w:hAnsi="仿宋" w:hint="eastAsia"/>
          <w:b/>
          <w:sz w:val="36"/>
          <w:szCs w:val="36"/>
        </w:rPr>
        <w:t>年决算支出</w:t>
      </w:r>
      <w:r w:rsidR="00D43C83">
        <w:rPr>
          <w:rFonts w:ascii="仿宋" w:eastAsia="仿宋" w:hAnsi="仿宋" w:hint="eastAsia"/>
          <w:b/>
          <w:sz w:val="36"/>
          <w:szCs w:val="36"/>
        </w:rPr>
        <w:t>2777.98</w:t>
      </w:r>
      <w:r w:rsidRPr="00986A21">
        <w:rPr>
          <w:rFonts w:ascii="仿宋" w:eastAsia="仿宋" w:hAnsi="仿宋" w:hint="eastAsia"/>
          <w:b/>
          <w:sz w:val="36"/>
          <w:szCs w:val="36"/>
        </w:rPr>
        <w:t>万元，比201</w:t>
      </w:r>
      <w:r w:rsidR="00D43C83">
        <w:rPr>
          <w:rFonts w:ascii="仿宋" w:eastAsia="仿宋" w:hAnsi="仿宋" w:hint="eastAsia"/>
          <w:b/>
          <w:sz w:val="36"/>
          <w:szCs w:val="36"/>
        </w:rPr>
        <w:t>5</w:t>
      </w:r>
      <w:r w:rsidRPr="00986A21">
        <w:rPr>
          <w:rFonts w:ascii="仿宋" w:eastAsia="仿宋" w:hAnsi="仿宋" w:hint="eastAsia"/>
          <w:b/>
          <w:sz w:val="36"/>
          <w:szCs w:val="36"/>
        </w:rPr>
        <w:t>年的</w:t>
      </w:r>
      <w:r w:rsidR="00D43C83" w:rsidRPr="00986A21">
        <w:rPr>
          <w:rFonts w:ascii="仿宋" w:eastAsia="仿宋" w:hAnsi="仿宋" w:hint="eastAsia"/>
          <w:b/>
          <w:sz w:val="36"/>
          <w:szCs w:val="36"/>
        </w:rPr>
        <w:t>2342.4</w:t>
      </w:r>
      <w:r w:rsidR="007C7E07" w:rsidRPr="00986A21">
        <w:rPr>
          <w:rFonts w:ascii="仿宋" w:eastAsia="仿宋" w:hAnsi="仿宋" w:hint="eastAsia"/>
          <w:b/>
          <w:sz w:val="36"/>
          <w:szCs w:val="36"/>
        </w:rPr>
        <w:t>万元</w:t>
      </w:r>
      <w:r w:rsidR="00D43C83">
        <w:rPr>
          <w:rFonts w:ascii="仿宋" w:eastAsia="仿宋" w:hAnsi="仿宋" w:hint="eastAsia"/>
          <w:b/>
          <w:sz w:val="36"/>
          <w:szCs w:val="36"/>
        </w:rPr>
        <w:t>增435.58</w:t>
      </w:r>
      <w:r w:rsidR="007C7E07" w:rsidRPr="00986A21">
        <w:rPr>
          <w:rFonts w:ascii="仿宋" w:eastAsia="仿宋" w:hAnsi="仿宋" w:hint="eastAsia"/>
          <w:b/>
          <w:sz w:val="36"/>
          <w:szCs w:val="36"/>
        </w:rPr>
        <w:t>万元，</w:t>
      </w:r>
      <w:r w:rsidR="00D43C83">
        <w:rPr>
          <w:rFonts w:ascii="仿宋" w:eastAsia="仿宋" w:hAnsi="仿宋" w:hint="eastAsia"/>
          <w:b/>
          <w:sz w:val="36"/>
          <w:szCs w:val="36"/>
        </w:rPr>
        <w:t>增15.67</w:t>
      </w:r>
      <w:r w:rsidRPr="00986A21">
        <w:rPr>
          <w:rFonts w:ascii="仿宋" w:eastAsia="仿宋" w:hAnsi="仿宋" w:hint="eastAsia"/>
          <w:b/>
          <w:sz w:val="36"/>
          <w:szCs w:val="36"/>
        </w:rPr>
        <w:t>%。其中，基本支出</w:t>
      </w:r>
      <w:r w:rsidR="00D43C83">
        <w:rPr>
          <w:rFonts w:ascii="仿宋" w:eastAsia="仿宋" w:hAnsi="仿宋" w:hint="eastAsia"/>
          <w:b/>
          <w:sz w:val="36"/>
          <w:szCs w:val="36"/>
        </w:rPr>
        <w:t>1655</w:t>
      </w:r>
      <w:r w:rsidRPr="00986A21">
        <w:rPr>
          <w:rFonts w:ascii="仿宋" w:eastAsia="仿宋" w:hAnsi="仿宋" w:hint="eastAsia"/>
          <w:b/>
          <w:sz w:val="36"/>
          <w:szCs w:val="36"/>
        </w:rPr>
        <w:t>完成万元，比201</w:t>
      </w:r>
      <w:r w:rsidR="00D43C83">
        <w:rPr>
          <w:rFonts w:ascii="仿宋" w:eastAsia="仿宋" w:hAnsi="仿宋" w:hint="eastAsia"/>
          <w:b/>
          <w:sz w:val="36"/>
          <w:szCs w:val="36"/>
        </w:rPr>
        <w:t>5</w:t>
      </w:r>
      <w:r w:rsidRPr="00986A21">
        <w:rPr>
          <w:rFonts w:ascii="仿宋" w:eastAsia="仿宋" w:hAnsi="仿宋" w:hint="eastAsia"/>
          <w:b/>
          <w:sz w:val="36"/>
          <w:szCs w:val="36"/>
        </w:rPr>
        <w:t>年的</w:t>
      </w:r>
      <w:r w:rsidR="00D43C83" w:rsidRPr="00986A21">
        <w:rPr>
          <w:rFonts w:ascii="仿宋" w:eastAsia="仿宋" w:hAnsi="仿宋" w:hint="eastAsia"/>
          <w:b/>
          <w:sz w:val="36"/>
          <w:szCs w:val="36"/>
        </w:rPr>
        <w:t>1361</w:t>
      </w:r>
      <w:r w:rsidRPr="00986A21">
        <w:rPr>
          <w:rFonts w:ascii="仿宋" w:eastAsia="仿宋" w:hAnsi="仿宋" w:hint="eastAsia"/>
          <w:b/>
          <w:sz w:val="36"/>
          <w:szCs w:val="36"/>
        </w:rPr>
        <w:t>万元</w:t>
      </w:r>
      <w:r w:rsidR="007F559B" w:rsidRPr="00986A21">
        <w:rPr>
          <w:rFonts w:ascii="仿宋" w:eastAsia="仿宋" w:hAnsi="仿宋" w:hint="eastAsia"/>
          <w:b/>
          <w:sz w:val="36"/>
          <w:szCs w:val="36"/>
        </w:rPr>
        <w:t>增</w:t>
      </w:r>
      <w:r w:rsidR="00D43C83">
        <w:rPr>
          <w:rFonts w:ascii="仿宋" w:eastAsia="仿宋" w:hAnsi="仿宋" w:hint="eastAsia"/>
          <w:b/>
          <w:sz w:val="36"/>
          <w:szCs w:val="36"/>
        </w:rPr>
        <w:t>294</w:t>
      </w:r>
      <w:r w:rsidRPr="00986A21">
        <w:rPr>
          <w:rFonts w:ascii="仿宋" w:eastAsia="仿宋" w:hAnsi="仿宋" w:hint="eastAsia"/>
          <w:b/>
          <w:sz w:val="36"/>
          <w:szCs w:val="36"/>
        </w:rPr>
        <w:t>万元，</w:t>
      </w:r>
      <w:r w:rsidR="007F559B" w:rsidRPr="00986A21">
        <w:rPr>
          <w:rFonts w:ascii="仿宋" w:eastAsia="仿宋" w:hAnsi="仿宋" w:hint="eastAsia"/>
          <w:b/>
          <w:sz w:val="36"/>
          <w:szCs w:val="36"/>
        </w:rPr>
        <w:t>增</w:t>
      </w:r>
      <w:r w:rsidR="00D43C83">
        <w:rPr>
          <w:rFonts w:ascii="仿宋" w:eastAsia="仿宋" w:hAnsi="仿宋" w:hint="eastAsia"/>
          <w:b/>
          <w:sz w:val="36"/>
          <w:szCs w:val="36"/>
        </w:rPr>
        <w:t>17.76</w:t>
      </w:r>
      <w:r w:rsidRPr="00986A21">
        <w:rPr>
          <w:rFonts w:ascii="仿宋" w:eastAsia="仿宋" w:hAnsi="仿宋" w:hint="eastAsia"/>
          <w:b/>
          <w:sz w:val="36"/>
          <w:szCs w:val="36"/>
        </w:rPr>
        <w:t>%；</w:t>
      </w:r>
      <w:r w:rsidR="00D43C83">
        <w:rPr>
          <w:rFonts w:ascii="仿宋" w:eastAsia="仿宋" w:hAnsi="仿宋" w:hint="eastAsia"/>
          <w:b/>
          <w:sz w:val="36"/>
          <w:szCs w:val="36"/>
        </w:rPr>
        <w:t>2016</w:t>
      </w:r>
      <w:r w:rsidRPr="00986A21">
        <w:rPr>
          <w:rFonts w:ascii="仿宋" w:eastAsia="仿宋" w:hAnsi="仿宋" w:hint="eastAsia"/>
          <w:b/>
          <w:sz w:val="36"/>
          <w:szCs w:val="36"/>
        </w:rPr>
        <w:t>项目支出完成</w:t>
      </w:r>
      <w:r w:rsidR="00D43C83">
        <w:rPr>
          <w:rFonts w:ascii="仿宋" w:eastAsia="仿宋" w:hAnsi="仿宋" w:hint="eastAsia"/>
          <w:b/>
          <w:sz w:val="36"/>
          <w:szCs w:val="36"/>
        </w:rPr>
        <w:t>1122</w:t>
      </w:r>
      <w:r w:rsidRPr="00986A21">
        <w:rPr>
          <w:rFonts w:ascii="仿宋" w:eastAsia="仿宋" w:hAnsi="仿宋" w:hint="eastAsia"/>
          <w:b/>
          <w:sz w:val="36"/>
          <w:szCs w:val="36"/>
        </w:rPr>
        <w:t>万元，比</w:t>
      </w:r>
      <w:r w:rsidR="009F0841" w:rsidRPr="00986A21">
        <w:rPr>
          <w:rFonts w:ascii="仿宋" w:eastAsia="仿宋" w:hAnsi="仿宋" w:hint="eastAsia"/>
          <w:b/>
          <w:sz w:val="36"/>
          <w:szCs w:val="36"/>
        </w:rPr>
        <w:t>201</w:t>
      </w:r>
      <w:r w:rsidR="00D43C83">
        <w:rPr>
          <w:rFonts w:ascii="仿宋" w:eastAsia="仿宋" w:hAnsi="仿宋" w:hint="eastAsia"/>
          <w:b/>
          <w:sz w:val="36"/>
          <w:szCs w:val="36"/>
        </w:rPr>
        <w:t>5</w:t>
      </w:r>
      <w:r w:rsidRPr="00986A21">
        <w:rPr>
          <w:rFonts w:ascii="仿宋" w:eastAsia="仿宋" w:hAnsi="仿宋" w:hint="eastAsia"/>
          <w:b/>
          <w:sz w:val="36"/>
          <w:szCs w:val="36"/>
        </w:rPr>
        <w:t>年的</w:t>
      </w:r>
      <w:r w:rsidR="00D43C83" w:rsidRPr="00986A21">
        <w:rPr>
          <w:rFonts w:ascii="仿宋" w:eastAsia="仿宋" w:hAnsi="仿宋" w:hint="eastAsia"/>
          <w:b/>
          <w:sz w:val="36"/>
          <w:szCs w:val="36"/>
        </w:rPr>
        <w:t>981.4</w:t>
      </w:r>
      <w:r w:rsidRPr="00986A21">
        <w:rPr>
          <w:rFonts w:ascii="仿宋" w:eastAsia="仿宋" w:hAnsi="仿宋" w:hint="eastAsia"/>
          <w:b/>
          <w:sz w:val="36"/>
          <w:szCs w:val="36"/>
        </w:rPr>
        <w:t>万元</w:t>
      </w:r>
      <w:r w:rsidR="00D43C83" w:rsidRPr="00986A21">
        <w:rPr>
          <w:rFonts w:ascii="仿宋" w:eastAsia="仿宋" w:hAnsi="仿宋" w:hint="eastAsia"/>
          <w:b/>
          <w:sz w:val="36"/>
          <w:szCs w:val="36"/>
        </w:rPr>
        <w:t>增</w:t>
      </w:r>
      <w:r w:rsidR="00D43C83">
        <w:rPr>
          <w:rFonts w:ascii="仿宋" w:eastAsia="仿宋" w:hAnsi="仿宋" w:hint="eastAsia"/>
          <w:b/>
          <w:sz w:val="36"/>
          <w:szCs w:val="36"/>
        </w:rPr>
        <w:t>410.6</w:t>
      </w:r>
      <w:r w:rsidR="007C7E07" w:rsidRPr="00986A21">
        <w:rPr>
          <w:rFonts w:ascii="仿宋" w:eastAsia="仿宋" w:hAnsi="仿宋" w:hint="eastAsia"/>
          <w:b/>
          <w:sz w:val="36"/>
          <w:szCs w:val="36"/>
        </w:rPr>
        <w:t>万元，</w:t>
      </w:r>
      <w:r w:rsidR="00D43C83" w:rsidRPr="00986A21">
        <w:rPr>
          <w:rFonts w:ascii="仿宋" w:eastAsia="仿宋" w:hAnsi="仿宋" w:hint="eastAsia"/>
          <w:b/>
          <w:sz w:val="36"/>
          <w:szCs w:val="36"/>
        </w:rPr>
        <w:t>增</w:t>
      </w:r>
      <w:r w:rsidR="00D43C83">
        <w:rPr>
          <w:rFonts w:ascii="仿宋" w:eastAsia="仿宋" w:hAnsi="仿宋" w:hint="eastAsia"/>
          <w:b/>
          <w:sz w:val="36"/>
          <w:szCs w:val="36"/>
        </w:rPr>
        <w:t>12.5</w:t>
      </w:r>
      <w:r w:rsidRPr="00986A21">
        <w:rPr>
          <w:rFonts w:ascii="仿宋" w:eastAsia="仿宋" w:hAnsi="仿宋" w:hint="eastAsia"/>
          <w:b/>
          <w:sz w:val="36"/>
          <w:szCs w:val="36"/>
        </w:rPr>
        <w:t>%。</w:t>
      </w:r>
    </w:p>
    <w:p w:rsidR="00AC3A4A" w:rsidRPr="00986A21" w:rsidRDefault="00AC3A4A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90268B">
        <w:rPr>
          <w:rFonts w:ascii="仿宋" w:eastAsia="仿宋" w:hAnsi="仿宋" w:hint="eastAsia"/>
          <w:b/>
          <w:sz w:val="36"/>
          <w:szCs w:val="36"/>
        </w:rPr>
        <w:t>支出结构分析：</w:t>
      </w:r>
    </w:p>
    <w:p w:rsidR="00AC3A4A" w:rsidRPr="00251B10" w:rsidRDefault="00AC3A4A" w:rsidP="004573F4">
      <w:pPr>
        <w:ind w:firstLineChars="200" w:firstLine="723"/>
        <w:jc w:val="left"/>
        <w:rPr>
          <w:rFonts w:ascii="宋体" w:hAnsi="宋体"/>
          <w:sz w:val="28"/>
          <w:szCs w:val="28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具体按支出经济分类来看</w:t>
      </w:r>
      <w:r w:rsidR="00D65F76" w:rsidRPr="00251B10">
        <w:rPr>
          <w:rFonts w:ascii="宋体" w:hAnsi="宋体"/>
          <w:noProof/>
          <w:sz w:val="30"/>
          <w:szCs w:val="30"/>
        </w:rPr>
        <w:lastRenderedPageBreak/>
        <w:drawing>
          <wp:inline distT="0" distB="0" distL="0" distR="0">
            <wp:extent cx="6819900" cy="3981450"/>
            <wp:effectExtent l="19050" t="0" r="19050" b="0"/>
            <wp:docPr id="4" name="对象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E4E0C" w:rsidRPr="00986A21" w:rsidRDefault="00986A21" w:rsidP="00986A21">
      <w:pPr>
        <w:snapToGrid w:val="0"/>
        <w:ind w:firstLineChars="50" w:firstLine="181"/>
        <w:rPr>
          <w:rFonts w:ascii="仿宋" w:eastAsia="仿宋" w:hAnsi="仿宋"/>
          <w:b/>
          <w:sz w:val="36"/>
          <w:szCs w:val="36"/>
        </w:rPr>
      </w:pPr>
      <w:r w:rsidRPr="00251B10">
        <w:rPr>
          <w:rFonts w:ascii="仿宋" w:eastAsia="仿宋" w:hAnsi="仿宋" w:hint="eastAsia"/>
          <w:b/>
          <w:sz w:val="36"/>
          <w:szCs w:val="36"/>
        </w:rPr>
        <w:t>3</w:t>
      </w:r>
      <w:r w:rsidR="0032547B" w:rsidRPr="00251B10">
        <w:rPr>
          <w:rFonts w:ascii="仿宋" w:eastAsia="仿宋" w:hAnsi="仿宋" w:hint="eastAsia"/>
          <w:b/>
          <w:sz w:val="36"/>
          <w:szCs w:val="36"/>
        </w:rPr>
        <w:t>、</w:t>
      </w:r>
      <w:r w:rsidR="004F3373" w:rsidRPr="00251B10">
        <w:rPr>
          <w:rFonts w:ascii="仿宋" w:eastAsia="仿宋" w:hAnsi="仿宋" w:hint="eastAsia"/>
          <w:b/>
          <w:sz w:val="36"/>
          <w:szCs w:val="36"/>
        </w:rPr>
        <w:t>年末收支结余情况分析</w:t>
      </w:r>
    </w:p>
    <w:tbl>
      <w:tblPr>
        <w:tblW w:w="13775" w:type="dxa"/>
        <w:tblInd w:w="93" w:type="dxa"/>
        <w:tblLook w:val="04A0"/>
      </w:tblPr>
      <w:tblGrid>
        <w:gridCol w:w="436"/>
        <w:gridCol w:w="436"/>
        <w:gridCol w:w="436"/>
        <w:gridCol w:w="2676"/>
        <w:gridCol w:w="1418"/>
        <w:gridCol w:w="1428"/>
        <w:gridCol w:w="711"/>
        <w:gridCol w:w="876"/>
        <w:gridCol w:w="876"/>
        <w:gridCol w:w="711"/>
        <w:gridCol w:w="601"/>
        <w:gridCol w:w="711"/>
        <w:gridCol w:w="711"/>
        <w:gridCol w:w="601"/>
        <w:gridCol w:w="711"/>
        <w:gridCol w:w="436"/>
      </w:tblGrid>
      <w:tr w:rsidR="00EB2EB5" w:rsidTr="00EB2EB5">
        <w:trPr>
          <w:trHeight w:val="308"/>
        </w:trPr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355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876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本年收入</w:t>
            </w:r>
          </w:p>
        </w:tc>
        <w:tc>
          <w:tcPr>
            <w:tcW w:w="876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本年支出</w:t>
            </w:r>
          </w:p>
        </w:tc>
        <w:tc>
          <w:tcPr>
            <w:tcW w:w="2023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收支结余</w:t>
            </w:r>
          </w:p>
        </w:tc>
        <w:tc>
          <w:tcPr>
            <w:tcW w:w="2459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年末结转和结余</w:t>
            </w:r>
          </w:p>
        </w:tc>
      </w:tr>
      <w:tr w:rsidR="00EB2EB5" w:rsidTr="009F4DFD">
        <w:trPr>
          <w:trHeight w:val="312"/>
        </w:trPr>
        <w:tc>
          <w:tcPr>
            <w:tcW w:w="1308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支出功能分类科目编码</w:t>
            </w:r>
          </w:p>
        </w:tc>
        <w:tc>
          <w:tcPr>
            <w:tcW w:w="26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项目支出结转和结余</w:t>
            </w:r>
          </w:p>
        </w:tc>
        <w:tc>
          <w:tcPr>
            <w:tcW w:w="87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项目支出结转和结余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项目支出结转和结余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经营结余</w:t>
            </w:r>
          </w:p>
        </w:tc>
      </w:tr>
      <w:tr w:rsidR="00EB2EB5" w:rsidTr="009F4DFD">
        <w:trPr>
          <w:trHeight w:val="312"/>
        </w:trPr>
        <w:tc>
          <w:tcPr>
            <w:tcW w:w="1308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</w:tr>
      <w:tr w:rsidR="00EB2EB5" w:rsidTr="009F4DFD">
        <w:trPr>
          <w:trHeight w:val="600"/>
        </w:trPr>
        <w:tc>
          <w:tcPr>
            <w:tcW w:w="1308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26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</w:tr>
      <w:tr w:rsidR="00EB2EB5" w:rsidTr="009F4DFD">
        <w:trPr>
          <w:trHeight w:val="308"/>
        </w:trPr>
        <w:tc>
          <w:tcPr>
            <w:tcW w:w="436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类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款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C0C0C0"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</w:t>
            </w:r>
          </w:p>
        </w:tc>
      </w:tr>
      <w:tr w:rsidR="009F4DFD" w:rsidTr="009F4DFD">
        <w:trPr>
          <w:trHeight w:val="308"/>
        </w:trPr>
        <w:tc>
          <w:tcPr>
            <w:tcW w:w="43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EB2EB5" w:rsidRDefault="00EB2EB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566.7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62.7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503.9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2,543.4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2,778.0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332.1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17.3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314.8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332.1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17.3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314.8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2010101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36.1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36.1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2010108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代表工作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2010199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其他人大事务支出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2010301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264.6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264.6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2010302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35.1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35.1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2010308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信访事务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2010399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其他政府办公厅（室）及相关机构事务支出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71.7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70.7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82.5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144.2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2010505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专项统计业务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2010601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2010699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其他财政事务支出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2011399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其他商贸事务支出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2012304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民族工作专项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24.8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11.0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26.8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9.0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9.0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9.0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9.0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2012404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宗教工作专项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2012902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2012999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其他群众团体事务支出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lastRenderedPageBreak/>
              <w:t>2013101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114.4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119.9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2013102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2013202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48.1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38.5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9.7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9.7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2013299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其他组织事务支出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26.5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33.1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2013399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其他宣传事务支出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2013699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其他共产党事务支出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2019999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其他一般公共服务支出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2040604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基层司法业务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2050301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初等职业教育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31.4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31.4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2060403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产业技术研究与开发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2060501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机构运行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2070102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2070109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群众文化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2070199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其他文化支出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2079999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其他文化体育与传媒支出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2080109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社会保险经办机构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39.0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39.0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2080205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老龄事务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2080208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基层政权和社区建设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23.8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24.3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2080299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其他民政管理事务支出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35.8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41.9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2080302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财政对失业保险基金的补助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2080304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财政对工伤保险基金的补助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2080305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财政对生育保险基金的补助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2080308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财政对城乡居民基本养老保险基金的补助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11.9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归口管理的行政单位离退休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14.1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14.1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88.0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88.0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2081002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老年福利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2081004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殡葬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80.0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80.0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83.6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2100501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25.1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25.1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2100502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20.5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2100503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公务员医疗补助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25.7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25.7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2100508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城镇居民基本医疗保险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2100716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计划生育机构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49.6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49.6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2100717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计划生育服务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14.1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9.4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2100799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其他计划生育事务支出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19.6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19.6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17.0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36.1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2110602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退耕现金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31.1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31.1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30.9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2120199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其他城乡社区管理事务支出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55.3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55.3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2120201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城乡社区规划与管理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10.6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10.6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129.1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139.7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lastRenderedPageBreak/>
              <w:t>2120501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17.0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2129999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其他城乡社区支出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2130104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84.9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84.9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2130106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科技转化与推广服务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2130108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病虫害控制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2130112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农业行业业务管理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2130135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农业资源保护修复与利用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84.9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84.9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2130199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其他农业支出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2130204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林业事业机构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25.3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25.3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2130209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森林生态效益补偿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36.4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36.4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138.2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137.9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36.6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36.6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36.6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36.6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2130304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水利行业业务管理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24.1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24.2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2130316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农田水利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2130504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农村基础设施建设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9.0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9.0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2130599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其他扶贫支出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50.0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50.0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50.0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50.0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50.0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2130701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对村级一事一议的补助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43.5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43.5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27.5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16.5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16.5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16.5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16.5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2130705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对村民委员会和村党支部的补助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174.6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176.3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2150899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其他支持中小企业发展和管理支出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19.0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19.0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2210105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农村危房改造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156.0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156.0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312.3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393.3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75.1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75.1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75.1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75.1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79.9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79.9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2290808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彩票市场调控资金支出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2296002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用于社会福利的彩票公益金支出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67.5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67.5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67.5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67.5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67.5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2296003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用于体育事业的彩票公益金支出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B2EB5" w:rsidTr="009F4DFD">
        <w:trPr>
          <w:trHeight w:val="308"/>
        </w:trPr>
        <w:tc>
          <w:tcPr>
            <w:tcW w:w="13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2296010</w:t>
            </w:r>
          </w:p>
        </w:tc>
        <w:tc>
          <w:tcPr>
            <w:tcW w:w="26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用于文化事业的彩票公益金支出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2EB5" w:rsidRDefault="00EB2EB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4F3373" w:rsidRPr="00986A21" w:rsidRDefault="00986A21" w:rsidP="00986A21">
      <w:pPr>
        <w:snapToGrid w:val="0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4、</w:t>
      </w:r>
      <w:r w:rsidR="004F3373" w:rsidRPr="00986A21">
        <w:rPr>
          <w:rFonts w:ascii="仿宋" w:eastAsia="仿宋" w:hAnsi="仿宋" w:hint="eastAsia"/>
          <w:b/>
          <w:sz w:val="36"/>
          <w:szCs w:val="36"/>
        </w:rPr>
        <w:t>资产负债情况分析</w:t>
      </w:r>
    </w:p>
    <w:p w:rsidR="00E9472C" w:rsidRPr="00986A21" w:rsidRDefault="009F4DFD" w:rsidP="00986A21">
      <w:pPr>
        <w:ind w:firstLineChars="240" w:firstLine="867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2016</w:t>
      </w:r>
      <w:r w:rsidR="00BF5F80" w:rsidRPr="00986A21">
        <w:rPr>
          <w:rFonts w:ascii="仿宋" w:eastAsia="仿宋" w:hAnsi="仿宋" w:hint="eastAsia"/>
          <w:b/>
          <w:sz w:val="36"/>
          <w:szCs w:val="36"/>
        </w:rPr>
        <w:t>年初总资产</w:t>
      </w:r>
      <w:r w:rsidR="00F41EE6">
        <w:rPr>
          <w:rFonts w:ascii="仿宋" w:eastAsia="仿宋" w:hAnsi="仿宋" w:hint="eastAsia"/>
          <w:b/>
          <w:sz w:val="36"/>
          <w:szCs w:val="36"/>
        </w:rPr>
        <w:t>926.3</w:t>
      </w:r>
      <w:r w:rsidR="006E13AE" w:rsidRPr="00986A21">
        <w:rPr>
          <w:rFonts w:ascii="仿宋" w:eastAsia="仿宋" w:hAnsi="仿宋" w:hint="eastAsia"/>
          <w:b/>
          <w:sz w:val="36"/>
          <w:szCs w:val="36"/>
        </w:rPr>
        <w:t>万</w:t>
      </w:r>
      <w:r w:rsidR="00BF5F80" w:rsidRPr="00986A21">
        <w:rPr>
          <w:rFonts w:ascii="仿宋" w:eastAsia="仿宋" w:hAnsi="仿宋" w:hint="eastAsia"/>
          <w:b/>
          <w:sz w:val="36"/>
          <w:szCs w:val="36"/>
        </w:rPr>
        <w:t>元。本年年初固定资产</w:t>
      </w:r>
      <w:r w:rsidR="00F41EE6">
        <w:rPr>
          <w:rFonts w:ascii="仿宋" w:eastAsia="仿宋" w:hAnsi="仿宋" w:hint="eastAsia"/>
          <w:b/>
          <w:sz w:val="36"/>
          <w:szCs w:val="36"/>
        </w:rPr>
        <w:t>391.4</w:t>
      </w:r>
      <w:r w:rsidR="006E13AE" w:rsidRPr="00986A21">
        <w:rPr>
          <w:rFonts w:ascii="仿宋" w:eastAsia="仿宋" w:hAnsi="仿宋" w:hint="eastAsia"/>
          <w:b/>
          <w:sz w:val="36"/>
          <w:szCs w:val="36"/>
        </w:rPr>
        <w:t>万</w:t>
      </w:r>
      <w:r w:rsidR="00BF5F80" w:rsidRPr="00986A21">
        <w:rPr>
          <w:rFonts w:ascii="仿宋" w:eastAsia="仿宋" w:hAnsi="仿宋" w:hint="eastAsia"/>
          <w:b/>
          <w:sz w:val="36"/>
          <w:szCs w:val="36"/>
        </w:rPr>
        <w:t>元，本年增加固定资产</w:t>
      </w:r>
      <w:r w:rsidR="00F41EE6">
        <w:rPr>
          <w:rFonts w:ascii="仿宋" w:eastAsia="仿宋" w:hAnsi="仿宋" w:hint="eastAsia"/>
          <w:b/>
          <w:sz w:val="36"/>
          <w:szCs w:val="36"/>
        </w:rPr>
        <w:t>31.78</w:t>
      </w:r>
      <w:r w:rsidR="006E13AE" w:rsidRPr="00986A21">
        <w:rPr>
          <w:rFonts w:ascii="仿宋" w:eastAsia="仿宋" w:hAnsi="仿宋" w:hint="eastAsia"/>
          <w:b/>
          <w:sz w:val="36"/>
          <w:szCs w:val="36"/>
        </w:rPr>
        <w:t>万</w:t>
      </w:r>
      <w:r w:rsidR="00BF5F80" w:rsidRPr="00986A21">
        <w:rPr>
          <w:rFonts w:ascii="仿宋" w:eastAsia="仿宋" w:hAnsi="仿宋" w:hint="eastAsia"/>
          <w:b/>
          <w:sz w:val="36"/>
          <w:szCs w:val="36"/>
        </w:rPr>
        <w:t>元，年末总资产</w:t>
      </w:r>
      <w:r w:rsidR="00F41EE6">
        <w:rPr>
          <w:rFonts w:ascii="仿宋" w:eastAsia="仿宋" w:hAnsi="仿宋" w:hint="eastAsia"/>
          <w:b/>
          <w:sz w:val="36"/>
          <w:szCs w:val="36"/>
        </w:rPr>
        <w:t>731.7</w:t>
      </w:r>
      <w:r w:rsidR="006E13AE" w:rsidRPr="00986A21">
        <w:rPr>
          <w:rFonts w:ascii="仿宋" w:eastAsia="仿宋" w:hAnsi="仿宋" w:hint="eastAsia"/>
          <w:b/>
          <w:sz w:val="36"/>
          <w:szCs w:val="36"/>
        </w:rPr>
        <w:t>万</w:t>
      </w:r>
      <w:r w:rsidR="00BF5F80" w:rsidRPr="00986A21">
        <w:rPr>
          <w:rFonts w:ascii="仿宋" w:eastAsia="仿宋" w:hAnsi="仿宋" w:hint="eastAsia"/>
          <w:b/>
          <w:sz w:val="36"/>
          <w:szCs w:val="36"/>
        </w:rPr>
        <w:t>元。增加固定资产主要是</w:t>
      </w:r>
      <w:r w:rsidR="00E9472C" w:rsidRPr="00986A21">
        <w:rPr>
          <w:rFonts w:ascii="仿宋" w:eastAsia="仿宋" w:hAnsi="仿宋" w:hint="eastAsia"/>
          <w:b/>
          <w:sz w:val="36"/>
          <w:szCs w:val="36"/>
        </w:rPr>
        <w:t>购买</w:t>
      </w:r>
      <w:r w:rsidR="00BD12D0" w:rsidRPr="00986A21">
        <w:rPr>
          <w:rFonts w:ascii="仿宋" w:eastAsia="仿宋" w:hAnsi="仿宋" w:hint="eastAsia"/>
          <w:b/>
          <w:sz w:val="36"/>
          <w:szCs w:val="36"/>
        </w:rPr>
        <w:t>办公台式机</w:t>
      </w:r>
      <w:r w:rsidR="00636741">
        <w:rPr>
          <w:rFonts w:ascii="仿宋" w:eastAsia="仿宋" w:hAnsi="仿宋" w:hint="eastAsia"/>
          <w:b/>
          <w:sz w:val="36"/>
          <w:szCs w:val="36"/>
        </w:rPr>
        <w:t>32</w:t>
      </w:r>
      <w:r w:rsidR="00BD12D0" w:rsidRPr="00986A21">
        <w:rPr>
          <w:rFonts w:ascii="仿宋" w:eastAsia="仿宋" w:hAnsi="仿宋" w:hint="eastAsia"/>
          <w:b/>
          <w:sz w:val="36"/>
          <w:szCs w:val="36"/>
        </w:rPr>
        <w:t>台，价值</w:t>
      </w:r>
      <w:r w:rsidR="00636741">
        <w:rPr>
          <w:rFonts w:ascii="仿宋" w:eastAsia="仿宋" w:hAnsi="仿宋" w:hint="eastAsia"/>
          <w:b/>
          <w:sz w:val="36"/>
          <w:szCs w:val="36"/>
        </w:rPr>
        <w:t>17.57</w:t>
      </w:r>
      <w:r w:rsidR="006E13AE" w:rsidRPr="00986A21">
        <w:rPr>
          <w:rFonts w:ascii="仿宋" w:eastAsia="仿宋" w:hAnsi="仿宋" w:hint="eastAsia"/>
          <w:b/>
          <w:sz w:val="36"/>
          <w:szCs w:val="36"/>
        </w:rPr>
        <w:t>万元</w:t>
      </w:r>
      <w:r w:rsidR="00BD12D0" w:rsidRPr="00986A21">
        <w:rPr>
          <w:rFonts w:ascii="仿宋" w:eastAsia="仿宋" w:hAnsi="仿宋" w:hint="eastAsia"/>
          <w:b/>
          <w:sz w:val="36"/>
          <w:szCs w:val="36"/>
        </w:rPr>
        <w:t>。打印、复印机</w:t>
      </w:r>
      <w:r w:rsidR="00636741">
        <w:rPr>
          <w:rFonts w:ascii="仿宋" w:eastAsia="仿宋" w:hAnsi="仿宋" w:hint="eastAsia"/>
          <w:b/>
          <w:sz w:val="36"/>
          <w:szCs w:val="36"/>
        </w:rPr>
        <w:t>15</w:t>
      </w:r>
      <w:r w:rsidR="00BD12D0" w:rsidRPr="00986A21">
        <w:rPr>
          <w:rFonts w:ascii="仿宋" w:eastAsia="仿宋" w:hAnsi="仿宋" w:hint="eastAsia"/>
          <w:b/>
          <w:sz w:val="36"/>
          <w:szCs w:val="36"/>
        </w:rPr>
        <w:t>台，价值</w:t>
      </w:r>
      <w:r w:rsidR="00636741">
        <w:rPr>
          <w:rFonts w:ascii="仿宋" w:eastAsia="仿宋" w:hAnsi="仿宋" w:hint="eastAsia"/>
          <w:b/>
          <w:sz w:val="36"/>
          <w:szCs w:val="36"/>
        </w:rPr>
        <w:t>10.72</w:t>
      </w:r>
      <w:r w:rsidR="00BD12D0" w:rsidRPr="00986A21">
        <w:rPr>
          <w:rFonts w:ascii="仿宋" w:eastAsia="仿宋" w:hAnsi="仿宋" w:hint="eastAsia"/>
          <w:b/>
          <w:sz w:val="36"/>
          <w:szCs w:val="36"/>
        </w:rPr>
        <w:t>元。</w:t>
      </w:r>
      <w:r w:rsidR="00636741">
        <w:rPr>
          <w:rFonts w:ascii="仿宋" w:eastAsia="仿宋" w:hAnsi="仿宋" w:hint="eastAsia"/>
          <w:b/>
          <w:sz w:val="36"/>
          <w:szCs w:val="36"/>
        </w:rPr>
        <w:t>笔记本4台,价值2.4</w:t>
      </w:r>
      <w:r w:rsidR="00636741" w:rsidRPr="00986A21">
        <w:rPr>
          <w:rFonts w:ascii="仿宋" w:eastAsia="仿宋" w:hAnsi="仿宋" w:hint="eastAsia"/>
          <w:b/>
          <w:sz w:val="36"/>
          <w:szCs w:val="36"/>
        </w:rPr>
        <w:t>万元</w:t>
      </w:r>
      <w:r w:rsidR="00636741">
        <w:rPr>
          <w:rFonts w:ascii="仿宋" w:eastAsia="仿宋" w:hAnsi="仿宋" w:hint="eastAsia"/>
          <w:b/>
          <w:sz w:val="36"/>
          <w:szCs w:val="36"/>
        </w:rPr>
        <w:t>.</w:t>
      </w:r>
      <w:r w:rsidR="00BC71F9">
        <w:rPr>
          <w:rFonts w:ascii="仿宋" w:eastAsia="仿宋" w:hAnsi="仿宋" w:hint="eastAsia"/>
          <w:b/>
          <w:sz w:val="36"/>
          <w:szCs w:val="36"/>
        </w:rPr>
        <w:t>数码相机5台,价值2.86万元.</w:t>
      </w:r>
    </w:p>
    <w:p w:rsidR="00BF5F80" w:rsidRPr="00986A21" w:rsidRDefault="00986A21" w:rsidP="00986A21">
      <w:pPr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5</w:t>
      </w:r>
      <w:r w:rsidR="00BF5F80" w:rsidRPr="00986A21">
        <w:rPr>
          <w:rFonts w:ascii="仿宋" w:eastAsia="仿宋" w:hAnsi="仿宋" w:hint="eastAsia"/>
          <w:b/>
          <w:sz w:val="36"/>
          <w:szCs w:val="36"/>
        </w:rPr>
        <w:t>、</w:t>
      </w:r>
      <w:r w:rsidR="00BC71F9">
        <w:rPr>
          <w:rFonts w:ascii="仿宋" w:eastAsia="仿宋" w:hAnsi="仿宋" w:hint="eastAsia"/>
          <w:b/>
          <w:sz w:val="36"/>
          <w:szCs w:val="36"/>
        </w:rPr>
        <w:t>2016</w:t>
      </w:r>
      <w:r w:rsidR="00BF5F80" w:rsidRPr="00986A21">
        <w:rPr>
          <w:rFonts w:ascii="仿宋" w:eastAsia="仿宋" w:hAnsi="仿宋" w:hint="eastAsia"/>
          <w:b/>
          <w:sz w:val="36"/>
          <w:szCs w:val="36"/>
        </w:rPr>
        <w:t>年度取得的主要成效</w:t>
      </w:r>
    </w:p>
    <w:p w:rsidR="00BF5F80" w:rsidRPr="00986A21" w:rsidRDefault="00BC71F9" w:rsidP="00986A21">
      <w:pPr>
        <w:ind w:firstLineChars="196" w:firstLine="708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2016</w:t>
      </w:r>
      <w:r w:rsidR="006E13AE" w:rsidRPr="00986A21">
        <w:rPr>
          <w:rFonts w:ascii="仿宋" w:eastAsia="仿宋" w:hAnsi="仿宋" w:hint="eastAsia"/>
          <w:b/>
          <w:sz w:val="36"/>
          <w:szCs w:val="36"/>
        </w:rPr>
        <w:t>年，我街道</w:t>
      </w:r>
      <w:r w:rsidR="00BF5F80" w:rsidRPr="00986A21">
        <w:rPr>
          <w:rFonts w:ascii="仿宋" w:eastAsia="仿宋" w:hAnsi="仿宋" w:hint="eastAsia"/>
          <w:b/>
          <w:sz w:val="36"/>
          <w:szCs w:val="36"/>
        </w:rPr>
        <w:t>认真贯彻落实中央、省、市工作会议精神，紧紧围绕县委县政府和</w:t>
      </w:r>
      <w:r w:rsidR="00E9472C" w:rsidRPr="00986A21">
        <w:rPr>
          <w:rFonts w:ascii="仿宋" w:eastAsia="仿宋" w:hAnsi="仿宋" w:hint="eastAsia"/>
          <w:b/>
          <w:sz w:val="36"/>
          <w:szCs w:val="36"/>
        </w:rPr>
        <w:t>街道办事处及党委</w:t>
      </w:r>
      <w:r w:rsidR="00BF5F80" w:rsidRPr="00986A21">
        <w:rPr>
          <w:rFonts w:ascii="仿宋" w:eastAsia="仿宋" w:hAnsi="仿宋" w:hint="eastAsia"/>
          <w:b/>
          <w:sz w:val="36"/>
          <w:szCs w:val="36"/>
        </w:rPr>
        <w:t>，稳步推进财政各项改革，保工资、保重点、保建设等资金得到较好落实，新农村建设、医疗</w:t>
      </w:r>
      <w:r w:rsidR="00BF5F80" w:rsidRPr="00986A21">
        <w:rPr>
          <w:rFonts w:ascii="仿宋" w:eastAsia="仿宋" w:hAnsi="仿宋" w:hint="eastAsia"/>
          <w:b/>
          <w:sz w:val="36"/>
          <w:szCs w:val="36"/>
        </w:rPr>
        <w:lastRenderedPageBreak/>
        <w:t>卫生、社会保障等重点支出所需资金得到较好保障，圆满完成全年财税收支目标任务，确保财政收支平衡，有力促进了</w:t>
      </w:r>
      <w:r w:rsidR="00E9472C" w:rsidRPr="00986A21">
        <w:rPr>
          <w:rFonts w:ascii="仿宋" w:eastAsia="仿宋" w:hAnsi="仿宋" w:hint="eastAsia"/>
          <w:b/>
          <w:sz w:val="36"/>
          <w:szCs w:val="36"/>
        </w:rPr>
        <w:t>街道</w:t>
      </w:r>
      <w:r w:rsidR="00BF5F80" w:rsidRPr="00986A21">
        <w:rPr>
          <w:rFonts w:ascii="仿宋" w:eastAsia="仿宋" w:hAnsi="仿宋" w:hint="eastAsia"/>
          <w:b/>
          <w:sz w:val="36"/>
          <w:szCs w:val="36"/>
        </w:rPr>
        <w:t>经济社会的持续、快速、健康、和谐</w:t>
      </w:r>
      <w:r w:rsidR="00C2517D" w:rsidRPr="00986A21">
        <w:rPr>
          <w:rFonts w:ascii="仿宋" w:eastAsia="仿宋" w:hAnsi="仿宋" w:hint="eastAsia"/>
          <w:b/>
          <w:sz w:val="36"/>
          <w:szCs w:val="36"/>
        </w:rPr>
        <w:t>稳步</w:t>
      </w:r>
      <w:r w:rsidR="00BF5F80" w:rsidRPr="00986A21">
        <w:rPr>
          <w:rFonts w:ascii="仿宋" w:eastAsia="仿宋" w:hAnsi="仿宋" w:hint="eastAsia"/>
          <w:b/>
          <w:sz w:val="36"/>
          <w:szCs w:val="36"/>
        </w:rPr>
        <w:t>发展。</w:t>
      </w:r>
    </w:p>
    <w:p w:rsidR="00BF5F80" w:rsidRPr="00986A21" w:rsidRDefault="00BF5F80" w:rsidP="00986A21">
      <w:pPr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四、决算编制中存在的问题及改进建议</w:t>
      </w:r>
    </w:p>
    <w:p w:rsidR="00BF5F80" w:rsidRPr="00986A21" w:rsidRDefault="00BF5F80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1、在决算工作中，由于时间紧，任务重，导致编制报表过于匆忙，急于应付，忽略许多细节的东西，容易出现错误，建议延长决算报表编制时间，尽量做到完整准确。</w:t>
      </w:r>
    </w:p>
    <w:p w:rsidR="00BF5F80" w:rsidRPr="00986A21" w:rsidRDefault="00BF5F80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>2、对决算报表编制业务及操作系统不熟，导致报表编制过中容易出现错误及重复劳动，不懂技巧，从而致使报表编制工作缓慢，错误过多，建议对决算工作人员加强培训，使之能快速有效地完成决算编制工作。</w:t>
      </w:r>
    </w:p>
    <w:p w:rsidR="00C2517D" w:rsidRPr="00986A21" w:rsidRDefault="00C2517D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</w:p>
    <w:p w:rsidR="00C2517D" w:rsidRPr="00986A21" w:rsidRDefault="00C2517D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</w:p>
    <w:p w:rsidR="00C2517D" w:rsidRPr="00986A21" w:rsidRDefault="00C2517D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</w:p>
    <w:p w:rsidR="00C2517D" w:rsidRPr="00986A21" w:rsidRDefault="00C2517D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 xml:space="preserve">             </w:t>
      </w:r>
      <w:r w:rsidR="00986A21">
        <w:rPr>
          <w:rFonts w:ascii="仿宋" w:eastAsia="仿宋" w:hAnsi="仿宋" w:hint="eastAsia"/>
          <w:b/>
          <w:sz w:val="36"/>
          <w:szCs w:val="36"/>
        </w:rPr>
        <w:t xml:space="preserve">                      </w:t>
      </w:r>
      <w:r w:rsidRPr="00986A21">
        <w:rPr>
          <w:rFonts w:ascii="仿宋" w:eastAsia="仿宋" w:hAnsi="仿宋" w:hint="eastAsia"/>
          <w:b/>
          <w:sz w:val="36"/>
          <w:szCs w:val="36"/>
        </w:rPr>
        <w:t>桂山街道办事处</w:t>
      </w:r>
    </w:p>
    <w:p w:rsidR="004F3373" w:rsidRPr="00986A21" w:rsidRDefault="00C2517D" w:rsidP="00986A21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986A21">
        <w:rPr>
          <w:rFonts w:ascii="仿宋" w:eastAsia="仿宋" w:hAnsi="仿宋" w:hint="eastAsia"/>
          <w:b/>
          <w:sz w:val="36"/>
          <w:szCs w:val="36"/>
        </w:rPr>
        <w:t xml:space="preserve">          </w:t>
      </w:r>
      <w:r w:rsidR="00986A21">
        <w:rPr>
          <w:rFonts w:ascii="仿宋" w:eastAsia="仿宋" w:hAnsi="仿宋" w:hint="eastAsia"/>
          <w:b/>
          <w:sz w:val="36"/>
          <w:szCs w:val="36"/>
        </w:rPr>
        <w:t xml:space="preserve">                      </w:t>
      </w:r>
      <w:r w:rsidRPr="00986A21">
        <w:rPr>
          <w:rFonts w:ascii="仿宋" w:eastAsia="仿宋" w:hAnsi="仿宋" w:hint="eastAsia"/>
          <w:b/>
          <w:sz w:val="36"/>
          <w:szCs w:val="36"/>
        </w:rPr>
        <w:t>二O</w:t>
      </w:r>
      <w:r w:rsidR="00BC71F9">
        <w:rPr>
          <w:rFonts w:ascii="仿宋" w:eastAsia="仿宋" w:hAnsi="仿宋" w:hint="eastAsia"/>
          <w:b/>
          <w:sz w:val="36"/>
          <w:szCs w:val="36"/>
        </w:rPr>
        <w:t>一六年一月十二</w:t>
      </w:r>
      <w:r w:rsidRPr="00986A21">
        <w:rPr>
          <w:rFonts w:ascii="仿宋" w:eastAsia="仿宋" w:hAnsi="仿宋" w:hint="eastAsia"/>
          <w:b/>
          <w:sz w:val="36"/>
          <w:szCs w:val="36"/>
        </w:rPr>
        <w:t>日</w:t>
      </w:r>
    </w:p>
    <w:sectPr w:rsidR="004F3373" w:rsidRPr="00986A21" w:rsidSect="00154861">
      <w:headerReference w:type="even" r:id="rId11"/>
      <w:headerReference w:type="defaul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736" w:rsidRDefault="00E93736" w:rsidP="005B21A7">
      <w:r>
        <w:separator/>
      </w:r>
    </w:p>
  </w:endnote>
  <w:endnote w:type="continuationSeparator" w:id="1">
    <w:p w:rsidR="00E93736" w:rsidRDefault="00E93736" w:rsidP="005B2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736" w:rsidRDefault="00E93736" w:rsidP="005B21A7">
      <w:r>
        <w:separator/>
      </w:r>
    </w:p>
  </w:footnote>
  <w:footnote w:type="continuationSeparator" w:id="1">
    <w:p w:rsidR="00E93736" w:rsidRDefault="00E93736" w:rsidP="005B2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DFD" w:rsidRDefault="009F4DFD" w:rsidP="00154861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DFD" w:rsidRDefault="009F4DFD" w:rsidP="0015486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B08"/>
    <w:multiLevelType w:val="hybridMultilevel"/>
    <w:tmpl w:val="12884854"/>
    <w:lvl w:ilvl="0" w:tplc="EE66402A">
      <w:start w:val="1"/>
      <w:numFmt w:val="japaneseCounting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">
    <w:nsid w:val="20701DC6"/>
    <w:multiLevelType w:val="hybridMultilevel"/>
    <w:tmpl w:val="14BCB9E2"/>
    <w:lvl w:ilvl="0" w:tplc="3EC67D6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34737D8"/>
    <w:multiLevelType w:val="hybridMultilevel"/>
    <w:tmpl w:val="15CEED4E"/>
    <w:lvl w:ilvl="0" w:tplc="80A6D5DE">
      <w:start w:val="1"/>
      <w:numFmt w:val="japaneseCounting"/>
      <w:lvlText w:val="%1、"/>
      <w:lvlJc w:val="left"/>
      <w:pPr>
        <w:ind w:left="1142" w:hanging="72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373"/>
    <w:rsid w:val="000634B2"/>
    <w:rsid w:val="000743E0"/>
    <w:rsid w:val="000877D3"/>
    <w:rsid w:val="000901C4"/>
    <w:rsid w:val="000A6B2C"/>
    <w:rsid w:val="000B2C5F"/>
    <w:rsid w:val="000C3A59"/>
    <w:rsid w:val="000F34D4"/>
    <w:rsid w:val="0010641D"/>
    <w:rsid w:val="00154861"/>
    <w:rsid w:val="0017623F"/>
    <w:rsid w:val="00184CA9"/>
    <w:rsid w:val="0018537E"/>
    <w:rsid w:val="0019308F"/>
    <w:rsid w:val="001B7E2D"/>
    <w:rsid w:val="0022416D"/>
    <w:rsid w:val="00231768"/>
    <w:rsid w:val="0024086C"/>
    <w:rsid w:val="00251B10"/>
    <w:rsid w:val="0026184C"/>
    <w:rsid w:val="0026349B"/>
    <w:rsid w:val="00263643"/>
    <w:rsid w:val="00286B22"/>
    <w:rsid w:val="002D0AA8"/>
    <w:rsid w:val="002D7009"/>
    <w:rsid w:val="002D749F"/>
    <w:rsid w:val="0030740D"/>
    <w:rsid w:val="0032547B"/>
    <w:rsid w:val="00336C41"/>
    <w:rsid w:val="0036439A"/>
    <w:rsid w:val="003E02BF"/>
    <w:rsid w:val="003F1138"/>
    <w:rsid w:val="00407609"/>
    <w:rsid w:val="004573F4"/>
    <w:rsid w:val="004578D0"/>
    <w:rsid w:val="004913A1"/>
    <w:rsid w:val="004D3598"/>
    <w:rsid w:val="004F3373"/>
    <w:rsid w:val="00542E50"/>
    <w:rsid w:val="00551878"/>
    <w:rsid w:val="005540BE"/>
    <w:rsid w:val="005B21A7"/>
    <w:rsid w:val="00624CA4"/>
    <w:rsid w:val="00632861"/>
    <w:rsid w:val="00636741"/>
    <w:rsid w:val="0065440F"/>
    <w:rsid w:val="006809FC"/>
    <w:rsid w:val="0068342C"/>
    <w:rsid w:val="00690CE9"/>
    <w:rsid w:val="0069252E"/>
    <w:rsid w:val="00692565"/>
    <w:rsid w:val="00693305"/>
    <w:rsid w:val="006E13AE"/>
    <w:rsid w:val="006E2A8C"/>
    <w:rsid w:val="00744BE3"/>
    <w:rsid w:val="007A4D88"/>
    <w:rsid w:val="007C7E07"/>
    <w:rsid w:val="007F559B"/>
    <w:rsid w:val="00820C5D"/>
    <w:rsid w:val="008262E6"/>
    <w:rsid w:val="00827AEE"/>
    <w:rsid w:val="008336BB"/>
    <w:rsid w:val="008C04F0"/>
    <w:rsid w:val="0090268B"/>
    <w:rsid w:val="00920C9D"/>
    <w:rsid w:val="009360F5"/>
    <w:rsid w:val="00955691"/>
    <w:rsid w:val="00986A21"/>
    <w:rsid w:val="009B2B46"/>
    <w:rsid w:val="009B64F7"/>
    <w:rsid w:val="009C4D5D"/>
    <w:rsid w:val="009F0841"/>
    <w:rsid w:val="009F4DFD"/>
    <w:rsid w:val="00A51910"/>
    <w:rsid w:val="00AB076A"/>
    <w:rsid w:val="00AC3A4A"/>
    <w:rsid w:val="00AC4246"/>
    <w:rsid w:val="00AE0B19"/>
    <w:rsid w:val="00AE746B"/>
    <w:rsid w:val="00B3545A"/>
    <w:rsid w:val="00BC71F9"/>
    <w:rsid w:val="00BD12D0"/>
    <w:rsid w:val="00BD6FDA"/>
    <w:rsid w:val="00BF5F80"/>
    <w:rsid w:val="00C12845"/>
    <w:rsid w:val="00C2517D"/>
    <w:rsid w:val="00C35538"/>
    <w:rsid w:val="00C373EC"/>
    <w:rsid w:val="00C54FFF"/>
    <w:rsid w:val="00C65A0F"/>
    <w:rsid w:val="00CD6289"/>
    <w:rsid w:val="00CE4E0C"/>
    <w:rsid w:val="00D13C68"/>
    <w:rsid w:val="00D22777"/>
    <w:rsid w:val="00D43C83"/>
    <w:rsid w:val="00D641E2"/>
    <w:rsid w:val="00D65F76"/>
    <w:rsid w:val="00DA303F"/>
    <w:rsid w:val="00DB46C4"/>
    <w:rsid w:val="00E15119"/>
    <w:rsid w:val="00E24603"/>
    <w:rsid w:val="00E2787C"/>
    <w:rsid w:val="00E37AE0"/>
    <w:rsid w:val="00E5714D"/>
    <w:rsid w:val="00E8094B"/>
    <w:rsid w:val="00E842AF"/>
    <w:rsid w:val="00E93736"/>
    <w:rsid w:val="00E9472C"/>
    <w:rsid w:val="00EA7153"/>
    <w:rsid w:val="00EB2EB5"/>
    <w:rsid w:val="00F25F94"/>
    <w:rsid w:val="00F41EE6"/>
    <w:rsid w:val="00F8183B"/>
    <w:rsid w:val="00F84E15"/>
    <w:rsid w:val="00F914C5"/>
    <w:rsid w:val="00FB001A"/>
    <w:rsid w:val="00FC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8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2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B21A7"/>
    <w:rPr>
      <w:kern w:val="2"/>
      <w:sz w:val="18"/>
      <w:szCs w:val="18"/>
    </w:rPr>
  </w:style>
  <w:style w:type="paragraph" w:styleId="a4">
    <w:name w:val="footer"/>
    <w:basedOn w:val="a"/>
    <w:link w:val="Char0"/>
    <w:rsid w:val="005B2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5B21A7"/>
    <w:rPr>
      <w:kern w:val="2"/>
      <w:sz w:val="18"/>
      <w:szCs w:val="18"/>
    </w:rPr>
  </w:style>
  <w:style w:type="paragraph" w:styleId="a5">
    <w:name w:val="Balloon Text"/>
    <w:basedOn w:val="a"/>
    <w:link w:val="Char1"/>
    <w:rsid w:val="00D65F76"/>
    <w:rPr>
      <w:sz w:val="18"/>
      <w:szCs w:val="18"/>
    </w:rPr>
  </w:style>
  <w:style w:type="character" w:customStyle="1" w:styleId="Char1">
    <w:name w:val="批注框文本 Char"/>
    <w:basedOn w:val="a0"/>
    <w:link w:val="a5"/>
    <w:rsid w:val="00D65F76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6E13AE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6E13AE"/>
    <w:rPr>
      <w:color w:val="800080"/>
      <w:u w:val="single"/>
    </w:rPr>
  </w:style>
  <w:style w:type="paragraph" w:customStyle="1" w:styleId="xl65">
    <w:name w:val="xl65"/>
    <w:basedOn w:val="a"/>
    <w:rsid w:val="006E13A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C0C0C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66">
    <w:name w:val="xl66"/>
    <w:basedOn w:val="a"/>
    <w:rsid w:val="006E13A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C0C0C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67">
    <w:name w:val="xl67"/>
    <w:basedOn w:val="a"/>
    <w:rsid w:val="006E13A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68">
    <w:name w:val="xl68"/>
    <w:basedOn w:val="a"/>
    <w:rsid w:val="006E13A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69">
    <w:name w:val="xl69"/>
    <w:basedOn w:val="a"/>
    <w:rsid w:val="006E13A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70">
    <w:name w:val="xl70"/>
    <w:basedOn w:val="a"/>
    <w:rsid w:val="006E13AE"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71">
    <w:name w:val="xl71"/>
    <w:basedOn w:val="a"/>
    <w:rsid w:val="006E13AE"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72">
    <w:name w:val="xl72"/>
    <w:basedOn w:val="a"/>
    <w:rsid w:val="006E13AE"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73">
    <w:name w:val="xl73"/>
    <w:basedOn w:val="a"/>
    <w:rsid w:val="006E13AE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C0C0C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74">
    <w:name w:val="xl74"/>
    <w:basedOn w:val="a"/>
    <w:rsid w:val="006E13AE"/>
    <w:pPr>
      <w:widowControl/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FFFFFF" w:fill="C0C0C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75">
    <w:name w:val="xl75"/>
    <w:basedOn w:val="a"/>
    <w:rsid w:val="006E13AE"/>
    <w:pPr>
      <w:widowControl/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FFFFFF" w:fill="C0C0C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76">
    <w:name w:val="xl76"/>
    <w:basedOn w:val="a"/>
    <w:rsid w:val="006E13A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C0C0C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rsid w:val="006E13A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C0C0C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rsid w:val="006E13A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79">
    <w:name w:val="xl79"/>
    <w:basedOn w:val="a"/>
    <w:rsid w:val="006E13AE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1"/>
  <c:chart>
    <c:autoTitleDeleted val="1"/>
    <c:plotArea>
      <c:layout>
        <c:manualLayout>
          <c:layoutTarget val="inner"/>
          <c:xMode val="edge"/>
          <c:yMode val="edge"/>
          <c:x val="0.21945438163513195"/>
          <c:y val="0"/>
          <c:w val="0.66326697222548814"/>
          <c:h val="0.94073710451465531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2344.2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zh-CN" altLang="en-US"/>
                      <a:t>一般公共服务支出</a:t>
                    </a:r>
                    <a:r>
                      <a:rPr lang="en-US" altLang="zh-CN"/>
                      <a:t>,716.4</a:t>
                    </a:r>
                  </a:p>
                  <a:p>
                    <a:endParaRPr lang="en-US" altLang="zh-CN"/>
                  </a:p>
                </c:rich>
              </c:tx>
              <c:showLegendKey val="1"/>
              <c:showVal val="1"/>
              <c:showCatName val="1"/>
            </c:dLbl>
            <c:dLbl>
              <c:idx val="1"/>
              <c:tx>
                <c:rich>
                  <a:bodyPr/>
                  <a:lstStyle/>
                  <a:p>
                    <a:r>
                      <a:rPr lang="zh-CN" altLang="en-US"/>
                      <a:t>教育支出</a:t>
                    </a:r>
                    <a:r>
                      <a:rPr lang="en-US" altLang="zh-CN"/>
                      <a:t>, 31.43</a:t>
                    </a:r>
                  </a:p>
                </c:rich>
              </c:tx>
              <c:showLegendKey val="1"/>
              <c:showVal val="1"/>
              <c:showCatName val="1"/>
            </c:dLbl>
            <c:dLbl>
              <c:idx val="2"/>
              <c:tx>
                <c:rich>
                  <a:bodyPr/>
                  <a:lstStyle/>
                  <a:p>
                    <a:r>
                      <a:rPr lang="zh-CN" altLang="en-US"/>
                      <a:t>科学技术支出</a:t>
                    </a:r>
                    <a:r>
                      <a:rPr lang="en-US" altLang="zh-CN"/>
                      <a:t>, 11.35</a:t>
                    </a:r>
                  </a:p>
                  <a:p>
                    <a:endParaRPr lang="en-US" altLang="zh-CN"/>
                  </a:p>
                </c:rich>
              </c:tx>
              <c:showLegendKey val="1"/>
              <c:showVal val="1"/>
              <c:showCatName val="1"/>
            </c:dLbl>
            <c:dLbl>
              <c:idx val="3"/>
              <c:tx>
                <c:rich>
                  <a:bodyPr/>
                  <a:lstStyle/>
                  <a:p>
                    <a:r>
                      <a:rPr lang="zh-CN" altLang="en-US"/>
                      <a:t>文化体育与传媒支出</a:t>
                    </a:r>
                    <a:r>
                      <a:rPr lang="en-US" altLang="zh-CN"/>
                      <a:t>, 26.24</a:t>
                    </a:r>
                  </a:p>
                </c:rich>
              </c:tx>
              <c:showLegendKey val="1"/>
              <c:showVal val="1"/>
              <c:showCatName val="1"/>
            </c:dLbl>
            <c:dLbl>
              <c:idx val="4"/>
              <c:tx>
                <c:rich>
                  <a:bodyPr/>
                  <a:lstStyle/>
                  <a:p>
                    <a:r>
                      <a:rPr lang="zh-CN" altLang="en-US"/>
                      <a:t>社会保障和就业支出</a:t>
                    </a:r>
                    <a:r>
                      <a:rPr lang="en-US" altLang="zh-CN"/>
                      <a:t>249.164</a:t>
                    </a:r>
                  </a:p>
                </c:rich>
              </c:tx>
              <c:showLegendKey val="1"/>
              <c:showVal val="1"/>
              <c:showCatName val="1"/>
            </c:dLbl>
            <c:dLbl>
              <c:idx val="5"/>
              <c:tx>
                <c:rich>
                  <a:bodyPr/>
                  <a:lstStyle/>
                  <a:p>
                    <a:r>
                      <a:rPr lang="zh-CN" altLang="en-US"/>
                      <a:t>医疗卫生支出，</a:t>
                    </a:r>
                    <a:r>
                      <a:rPr lang="en-US" altLang="zh-CN"/>
                      <a:t>151.99</a:t>
                    </a:r>
                  </a:p>
                </c:rich>
              </c:tx>
              <c:showLegendKey val="1"/>
              <c:showVal val="1"/>
              <c:showCatName val="1"/>
            </c:dLbl>
            <c:dLbl>
              <c:idx val="6"/>
              <c:tx>
                <c:rich>
                  <a:bodyPr/>
                  <a:lstStyle/>
                  <a:p>
                    <a:r>
                      <a:rPr lang="zh-CN" altLang="en-US"/>
                      <a:t>节能环保支出</a:t>
                    </a:r>
                    <a:r>
                      <a:rPr lang="en-US" altLang="zh-CN"/>
                      <a:t>, 30.87</a:t>
                    </a:r>
                  </a:p>
                </c:rich>
              </c:tx>
              <c:showLegendKey val="1"/>
              <c:showVal val="1"/>
              <c:showCatName val="1"/>
            </c:dLbl>
            <c:dLbl>
              <c:idx val="7"/>
              <c:layout>
                <c:manualLayout>
                  <c:x val="-3.6483823975221907E-1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城乡社区支出</a:t>
                    </a:r>
                    <a:r>
                      <a:rPr lang="en-US" altLang="zh-CN"/>
                      <a:t>, 220.37</a:t>
                    </a:r>
                  </a:p>
                </c:rich>
              </c:tx>
              <c:showLegendKey val="1"/>
              <c:showVal val="1"/>
              <c:showCatName val="1"/>
            </c:dLbl>
            <c:dLbl>
              <c:idx val="8"/>
              <c:tx>
                <c:rich>
                  <a:bodyPr/>
                  <a:lstStyle/>
                  <a:p>
                    <a:r>
                      <a:rPr lang="zh-CN" altLang="en-US"/>
                      <a:t>农林水支出</a:t>
                    </a:r>
                    <a:r>
                      <a:rPr lang="en-US" altLang="zh-CN"/>
                      <a:t>, 598.88</a:t>
                    </a:r>
                  </a:p>
                </c:rich>
              </c:tx>
              <c:showLegendKey val="1"/>
              <c:showVal val="1"/>
              <c:showCatName val="1"/>
            </c:dLbl>
            <c:dLbl>
              <c:idx val="9"/>
              <c:tx>
                <c:rich>
                  <a:bodyPr/>
                  <a:lstStyle/>
                  <a:p>
                    <a:r>
                      <a:rPr lang="zh-CN" altLang="en-US"/>
                      <a:t>资源勘探信息等支出</a:t>
                    </a:r>
                    <a:r>
                      <a:rPr lang="en-US" altLang="zh-CN"/>
                      <a:t>,18.99</a:t>
                    </a:r>
                  </a:p>
                </c:rich>
              </c:tx>
              <c:showLegendKey val="1"/>
              <c:showVal val="1"/>
              <c:showCatName val="1"/>
            </c:dLbl>
            <c:dLbl>
              <c:idx val="10"/>
              <c:tx>
                <c:rich>
                  <a:bodyPr/>
                  <a:lstStyle/>
                  <a:p>
                    <a:r>
                      <a:rPr lang="zh-CN" altLang="en-US"/>
                      <a:t>住房保障支出</a:t>
                    </a:r>
                    <a:r>
                      <a:rPr lang="en-US" altLang="zh-CN"/>
                      <a:t>, 392.22</a:t>
                    </a:r>
                  </a:p>
                </c:rich>
              </c:tx>
              <c:showLegendKey val="1"/>
              <c:showVal val="1"/>
              <c:showCatName val="1"/>
            </c:dLbl>
            <c:dLbl>
              <c:idx val="11"/>
              <c:tx>
                <c:rich>
                  <a:bodyPr/>
                  <a:lstStyle/>
                  <a:p>
                    <a:r>
                      <a:rPr lang="zh-CN" altLang="en-US"/>
                      <a:t>其他支出</a:t>
                    </a:r>
                    <a:r>
                      <a:rPr lang="en-US" altLang="zh-CN"/>
                      <a:t>, 95.5</a:t>
                    </a:r>
                  </a:p>
                </c:rich>
              </c:tx>
              <c:showLegendKey val="1"/>
              <c:showVal val="1"/>
              <c:showCatName val="1"/>
            </c:dLbl>
            <c:showLegendKey val="1"/>
            <c:showVal val="1"/>
            <c:showCatName val="1"/>
          </c:dLbls>
          <c:cat>
            <c:strRef>
              <c:f>Sheet1!$B$1:$M$1</c:f>
              <c:strCache>
                <c:ptCount val="12"/>
                <c:pt idx="0">
                  <c:v>一般公共服务支出</c:v>
                </c:pt>
                <c:pt idx="1">
                  <c:v>教育支出</c:v>
                </c:pt>
                <c:pt idx="2">
                  <c:v>科学技术支出</c:v>
                </c:pt>
                <c:pt idx="3">
                  <c:v>文化体育与传媒支出</c:v>
                </c:pt>
                <c:pt idx="4">
                  <c:v>社会保障和就业支出</c:v>
                </c:pt>
                <c:pt idx="5">
                  <c:v>医疗卫生支出</c:v>
                </c:pt>
                <c:pt idx="6">
                  <c:v>节能环保支出</c:v>
                </c:pt>
                <c:pt idx="7">
                  <c:v>城乡社区支出</c:v>
                </c:pt>
                <c:pt idx="8">
                  <c:v>农林水支出</c:v>
                </c:pt>
                <c:pt idx="9">
                  <c:v>资源勘探信息等支出</c:v>
                </c:pt>
                <c:pt idx="10">
                  <c:v>住房保障支出</c:v>
                </c:pt>
                <c:pt idx="11">
                  <c:v>其他支出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 formatCode="#,##0.00">
                  <c:v>830.9</c:v>
                </c:pt>
                <c:pt idx="1">
                  <c:v>36.800000000000004</c:v>
                </c:pt>
                <c:pt idx="2">
                  <c:v>13.7</c:v>
                </c:pt>
                <c:pt idx="3">
                  <c:v>17.899999999999999</c:v>
                </c:pt>
                <c:pt idx="4">
                  <c:v>220.8</c:v>
                </c:pt>
                <c:pt idx="5">
                  <c:v>109.7</c:v>
                </c:pt>
                <c:pt idx="6">
                  <c:v>31.1</c:v>
                </c:pt>
                <c:pt idx="7">
                  <c:v>206.5</c:v>
                </c:pt>
                <c:pt idx="8">
                  <c:v>709.4</c:v>
                </c:pt>
                <c:pt idx="9">
                  <c:v>16</c:v>
                </c:pt>
                <c:pt idx="10">
                  <c:v>144.85000000000031</c:v>
                </c:pt>
                <c:pt idx="11">
                  <c:v>62</c:v>
                </c:pt>
              </c:numCache>
            </c:numRef>
          </c:val>
        </c:ser>
        <c:dLbls>
          <c:showLegendKey val="1"/>
          <c:showVal val="1"/>
          <c:showCatName val="1"/>
        </c:dLbls>
        <c:axId val="136213248"/>
        <c:axId val="136214784"/>
      </c:barChart>
      <c:catAx>
        <c:axId val="136213248"/>
        <c:scaling>
          <c:orientation val="minMax"/>
        </c:scaling>
        <c:axPos val="l"/>
        <c:numFmt formatCode="General" sourceLinked="1"/>
        <c:majorTickMark val="in"/>
        <c:tickLblPos val="nextTo"/>
        <c:txPr>
          <a:bodyPr rot="0" vert="horz"/>
          <a:lstStyle/>
          <a:p>
            <a:pPr>
              <a:defRPr/>
            </a:pPr>
            <a:endParaRPr lang="zh-CN"/>
          </a:p>
        </c:txPr>
        <c:crossAx val="136214784"/>
        <c:crosses val="autoZero"/>
        <c:auto val="1"/>
        <c:lblAlgn val="ctr"/>
        <c:lblOffset val="100"/>
        <c:tickLblSkip val="2"/>
        <c:tickMarkSkip val="1"/>
      </c:catAx>
      <c:valAx>
        <c:axId val="136214784"/>
        <c:scaling>
          <c:orientation val="minMax"/>
        </c:scaling>
        <c:axPos val="b"/>
        <c:numFmt formatCode="#,##0.00" sourceLinked="1"/>
        <c:majorTickMark val="in"/>
        <c:tickLblPos val="nextTo"/>
        <c:txPr>
          <a:bodyPr rot="0" vert="horz"/>
          <a:lstStyle/>
          <a:p>
            <a:pPr>
              <a:defRPr/>
            </a:pPr>
            <a:endParaRPr lang="zh-CN"/>
          </a:p>
        </c:txPr>
        <c:crossAx val="136213248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view3D>
      <c:rAngAx val="1"/>
    </c:view3D>
    <c:plotArea>
      <c:layout/>
      <c:area3DChart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2015年收入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一般公共服务支出</c:v>
                </c:pt>
                <c:pt idx="1">
                  <c:v>教育支出</c:v>
                </c:pt>
                <c:pt idx="2">
                  <c:v>科学技术支出</c:v>
                </c:pt>
                <c:pt idx="3">
                  <c:v>文化体育与传媒支出</c:v>
                </c:pt>
                <c:pt idx="4">
                  <c:v>社会保障和就业支出</c:v>
                </c:pt>
                <c:pt idx="5">
                  <c:v>医疗卫生与计划生育支出</c:v>
                </c:pt>
                <c:pt idx="6">
                  <c:v>节能环保支出</c:v>
                </c:pt>
                <c:pt idx="7">
                  <c:v>城乡社区支出</c:v>
                </c:pt>
                <c:pt idx="8">
                  <c:v>农林水支出</c:v>
                </c:pt>
                <c:pt idx="9">
                  <c:v>资源勘探信息等支出</c:v>
                </c:pt>
                <c:pt idx="10">
                  <c:v>住房保障支出</c:v>
                </c:pt>
                <c:pt idx="11">
                  <c:v>其他支出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627.79999999999995</c:v>
                </c:pt>
                <c:pt idx="1">
                  <c:v>36.800000000000004</c:v>
                </c:pt>
                <c:pt idx="2">
                  <c:v>19.3</c:v>
                </c:pt>
                <c:pt idx="3">
                  <c:v>18.899999999999999</c:v>
                </c:pt>
                <c:pt idx="4">
                  <c:v>293.5</c:v>
                </c:pt>
                <c:pt idx="5">
                  <c:v>93</c:v>
                </c:pt>
                <c:pt idx="6">
                  <c:v>31.1</c:v>
                </c:pt>
                <c:pt idx="7">
                  <c:v>165.5</c:v>
                </c:pt>
                <c:pt idx="8">
                  <c:v>763.6</c:v>
                </c:pt>
                <c:pt idx="9">
                  <c:v>16</c:v>
                </c:pt>
                <c:pt idx="10">
                  <c:v>243.7</c:v>
                </c:pt>
                <c:pt idx="11">
                  <c:v>35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2016年收入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一般公共服务支出</c:v>
                </c:pt>
                <c:pt idx="1">
                  <c:v>教育支出</c:v>
                </c:pt>
                <c:pt idx="2">
                  <c:v>科学技术支出</c:v>
                </c:pt>
                <c:pt idx="3">
                  <c:v>文化体育与传媒支出</c:v>
                </c:pt>
                <c:pt idx="4">
                  <c:v>社会保障和就业支出</c:v>
                </c:pt>
                <c:pt idx="5">
                  <c:v>医疗卫生与计划生育支出</c:v>
                </c:pt>
                <c:pt idx="6">
                  <c:v>节能环保支出</c:v>
                </c:pt>
                <c:pt idx="7">
                  <c:v>城乡社区支出</c:v>
                </c:pt>
                <c:pt idx="8">
                  <c:v>农林水支出</c:v>
                </c:pt>
                <c:pt idx="9">
                  <c:v>资源勘探信息等支出</c:v>
                </c:pt>
                <c:pt idx="10">
                  <c:v>住房保障支出</c:v>
                </c:pt>
                <c:pt idx="11">
                  <c:v>其他支出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716.4</c:v>
                </c:pt>
                <c:pt idx="1">
                  <c:v>31.43</c:v>
                </c:pt>
                <c:pt idx="2">
                  <c:v>11.350000000000016</c:v>
                </c:pt>
                <c:pt idx="3">
                  <c:v>26.24</c:v>
                </c:pt>
                <c:pt idx="4">
                  <c:v>249.16</c:v>
                </c:pt>
                <c:pt idx="5">
                  <c:v>151.99</c:v>
                </c:pt>
                <c:pt idx="6">
                  <c:v>30.87</c:v>
                </c:pt>
                <c:pt idx="7">
                  <c:v>220.37</c:v>
                </c:pt>
                <c:pt idx="8">
                  <c:v>598.88</c:v>
                </c:pt>
                <c:pt idx="9">
                  <c:v>18.989999999999959</c:v>
                </c:pt>
                <c:pt idx="10">
                  <c:v>392.21999999999969</c:v>
                </c:pt>
                <c:pt idx="11">
                  <c:v>95.5</c:v>
                </c:pt>
              </c:numCache>
            </c:numRef>
          </c:val>
        </c:ser>
        <c:axId val="136234112"/>
        <c:axId val="136235648"/>
        <c:axId val="0"/>
      </c:area3DChart>
      <c:catAx>
        <c:axId val="136234112"/>
        <c:scaling>
          <c:orientation val="minMax"/>
        </c:scaling>
        <c:axPos val="b"/>
        <c:tickLblPos val="nextTo"/>
        <c:crossAx val="136235648"/>
        <c:crosses val="autoZero"/>
        <c:auto val="1"/>
        <c:lblAlgn val="ctr"/>
        <c:lblOffset val="100"/>
      </c:catAx>
      <c:valAx>
        <c:axId val="136235648"/>
        <c:scaling>
          <c:orientation val="minMax"/>
        </c:scaling>
        <c:axPos val="l"/>
        <c:majorGridlines/>
        <c:numFmt formatCode="General" sourceLinked="1"/>
        <c:tickLblPos val="nextTo"/>
        <c:crossAx val="136234112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2.2321428571428582E-2"/>
          <c:y val="0.38285714285714356"/>
          <c:w val="0.28571428571428664"/>
          <c:h val="0.36571428571428688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1655</c:v>
                </c:pt>
              </c:strCache>
            </c:strRef>
          </c:tx>
          <c:dLbls>
            <c:dLbl>
              <c:idx val="0"/>
              <c:layout>
                <c:manualLayout>
                  <c:x val="0.22049607974980795"/>
                  <c:y val="3.3836165216190192E-2"/>
                </c:manualLayout>
              </c:layout>
              <c:dLblPos val="bestFit"/>
              <c:showVal val="1"/>
              <c:showCatName val="1"/>
              <c:showPercent val="1"/>
            </c:dLbl>
            <c:dLbl>
              <c:idx val="1"/>
              <c:layout>
                <c:manualLayout>
                  <c:x val="7.8410334881324428E-2"/>
                  <c:y val="4.5085153829456824E-3"/>
                </c:manualLayout>
              </c:layout>
              <c:dLblPos val="bestFit"/>
              <c:showVal val="1"/>
              <c:showCatName val="1"/>
              <c:showPercent val="1"/>
            </c:dLbl>
            <c:dLbl>
              <c:idx val="2"/>
              <c:dLblPos val="bestFit"/>
              <c:showVal val="1"/>
              <c:showCatName val="1"/>
              <c:showPercent val="1"/>
            </c:dLbl>
            <c:dLbl>
              <c:idx val="3"/>
              <c:dLblPos val="bestFit"/>
              <c:showVal val="1"/>
              <c:showCatName val="1"/>
              <c:showPercent val="1"/>
            </c:dLbl>
            <c:numFmt formatCode="0%" sourceLinked="0"/>
            <c:showVal val="1"/>
            <c:showCatName val="1"/>
            <c:showPercent val="1"/>
            <c:showLeaderLines val="1"/>
          </c:dLbls>
          <c:cat>
            <c:strRef>
              <c:f>Sheet1!$B$1:$E$1</c:f>
              <c:strCache>
                <c:ptCount val="4"/>
                <c:pt idx="0">
                  <c:v>工资福利支出</c:v>
                </c:pt>
                <c:pt idx="1">
                  <c:v>商品和服务支出</c:v>
                </c:pt>
                <c:pt idx="2">
                  <c:v>对个人和家庭的补助</c:v>
                </c:pt>
                <c:pt idx="3">
                  <c:v>其他资本性支出</c:v>
                </c:pt>
              </c:strCache>
            </c:strRef>
          </c:cat>
          <c:val>
            <c:numRef>
              <c:f>Sheet1!$B$2:$E$2</c:f>
              <c:numCache>
                <c:formatCode>#,##0.00</c:formatCode>
                <c:ptCount val="4"/>
                <c:pt idx="0">
                  <c:v>777.23</c:v>
                </c:pt>
                <c:pt idx="1">
                  <c:v>515</c:v>
                </c:pt>
                <c:pt idx="2" formatCode="General">
                  <c:v>344</c:v>
                </c:pt>
                <c:pt idx="3">
                  <c:v>17.89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1.706740568043524E-2"/>
          <c:y val="0"/>
          <c:w val="0.9285714285714286"/>
          <c:h val="0.33460020846676458"/>
        </c:manualLayout>
      </c:layout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64FE-1EDA-4A02-809C-1CB96F51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940</Words>
  <Characters>5362</Characters>
  <Application>Microsoft Office Word</Application>
  <DocSecurity>0</DocSecurity>
  <Lines>44</Lines>
  <Paragraphs>12</Paragraphs>
  <ScaleCrop>false</ScaleCrop>
  <Company>微软中国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部门决算分析报告撰写提纲</dc:title>
  <dc:creator>微软用户</dc:creator>
  <cp:lastModifiedBy>user</cp:lastModifiedBy>
  <cp:revision>3</cp:revision>
  <dcterms:created xsi:type="dcterms:W3CDTF">2017-09-11T06:35:00Z</dcterms:created>
  <dcterms:modified xsi:type="dcterms:W3CDTF">2017-09-11T06:53:00Z</dcterms:modified>
</cp:coreProperties>
</file>