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 w:val="left" w:pos="7980"/>
        </w:tabs>
        <w:spacing w:line="570"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rPr>
        <w:t>新平县</w:t>
      </w:r>
      <w:r>
        <w:rPr>
          <w:rFonts w:hint="eastAsia" w:ascii="方正小标宋_GBK" w:eastAsia="方正小标宋_GBK"/>
          <w:spacing w:val="-20"/>
          <w:sz w:val="44"/>
          <w:szCs w:val="44"/>
          <w:lang w:eastAsia="zh-CN"/>
        </w:rPr>
        <w:t>市场监督管理局</w:t>
      </w:r>
      <w:r>
        <w:rPr>
          <w:rFonts w:hint="eastAsia" w:ascii="方正小标宋_GBK" w:eastAsia="方正小标宋_GBK"/>
          <w:spacing w:val="-20"/>
          <w:sz w:val="44"/>
          <w:szCs w:val="44"/>
        </w:rPr>
        <w:t>贯彻落实</w:t>
      </w:r>
      <w:r>
        <w:rPr>
          <w:rFonts w:hint="eastAsia" w:ascii="方正小标宋_GBK" w:eastAsia="方正小标宋_GBK"/>
          <w:spacing w:val="-20"/>
          <w:sz w:val="44"/>
          <w:szCs w:val="44"/>
          <w:lang w:eastAsia="zh-CN"/>
        </w:rPr>
        <w:t>新平县</w:t>
      </w:r>
      <w:r>
        <w:rPr>
          <w:rFonts w:hint="eastAsia" w:ascii="方正小标宋_GBK" w:eastAsia="方正小标宋_GBK"/>
          <w:spacing w:val="-20"/>
          <w:sz w:val="44"/>
          <w:szCs w:val="44"/>
        </w:rPr>
        <w:t>政府办公室2017年政务公开工作要点分工方案</w:t>
      </w:r>
    </w:p>
    <w:p>
      <w:pPr>
        <w:spacing w:line="400" w:lineRule="exact"/>
        <w:rPr>
          <w:rFonts w:hint="eastAsia" w:eastAsia="方正仿宋_GBK"/>
          <w:sz w:val="32"/>
          <w:szCs w:val="32"/>
        </w:rPr>
      </w:pPr>
    </w:p>
    <w:tbl>
      <w:tblPr>
        <w:tblStyle w:val="8"/>
        <w:tblW w:w="15313" w:type="dxa"/>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63"/>
        <w:gridCol w:w="1600"/>
        <w:gridCol w:w="7592"/>
        <w:gridCol w:w="25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63" w:type="dxa"/>
            <w:vAlign w:val="center"/>
          </w:tcPr>
          <w:p>
            <w:pPr>
              <w:pStyle w:val="4"/>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序号</w:t>
            </w:r>
          </w:p>
        </w:tc>
        <w:tc>
          <w:tcPr>
            <w:tcW w:w="2863" w:type="dxa"/>
            <w:gridSpan w:val="2"/>
            <w:vAlign w:val="center"/>
          </w:tcPr>
          <w:p>
            <w:pPr>
              <w:pStyle w:val="4"/>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工作任务</w:t>
            </w:r>
          </w:p>
        </w:tc>
        <w:tc>
          <w:tcPr>
            <w:tcW w:w="7592" w:type="dxa"/>
            <w:vAlign w:val="center"/>
          </w:tcPr>
          <w:p>
            <w:pPr>
              <w:pStyle w:val="4"/>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具体要求</w:t>
            </w:r>
          </w:p>
        </w:tc>
        <w:tc>
          <w:tcPr>
            <w:tcW w:w="2520" w:type="dxa"/>
            <w:vAlign w:val="center"/>
          </w:tcPr>
          <w:p>
            <w:pPr>
              <w:pStyle w:val="4"/>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牵头落实</w:t>
            </w:r>
            <w:r>
              <w:rPr>
                <w:rFonts w:hint="default" w:ascii="Times New Roman" w:hAnsi="Times New Roman" w:eastAsia="方正仿宋_GBK" w:cs="Times New Roman"/>
                <w:b/>
                <w:bCs/>
                <w:color w:val="000000"/>
                <w:sz w:val="21"/>
                <w:szCs w:val="21"/>
                <w:lang w:eastAsia="zh-CN"/>
              </w:rPr>
              <w:t>股室</w:t>
            </w:r>
          </w:p>
        </w:tc>
        <w:tc>
          <w:tcPr>
            <w:tcW w:w="1575" w:type="dxa"/>
            <w:vAlign w:val="center"/>
          </w:tcPr>
          <w:p>
            <w:pPr>
              <w:pStyle w:val="4"/>
              <w:jc w:val="center"/>
              <w:rPr>
                <w:rFonts w:hint="default" w:ascii="Times New Roman" w:hAnsi="Times New Roman" w:eastAsia="方正仿宋_GBK" w:cs="Times New Roman"/>
                <w:b/>
                <w:bCs/>
                <w:color w:val="000000"/>
                <w:sz w:val="21"/>
                <w:szCs w:val="21"/>
              </w:rPr>
            </w:pPr>
            <w:r>
              <w:rPr>
                <w:rFonts w:hint="default" w:ascii="Times New Roman" w:hAnsi="Times New Roman" w:eastAsia="方正仿宋_GBK" w:cs="Times New Roman"/>
                <w:b/>
                <w:bCs/>
                <w:color w:val="00000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1</w:t>
            </w:r>
          </w:p>
        </w:tc>
        <w:tc>
          <w:tcPr>
            <w:tcW w:w="1263" w:type="dxa"/>
            <w:vMerge w:val="restart"/>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以政务公开助力促改革</w:t>
            </w:r>
          </w:p>
        </w:tc>
        <w:tc>
          <w:tcPr>
            <w:tcW w:w="1600" w:type="dxa"/>
            <w:vMerge w:val="restart"/>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推进“放管服”改革信息公开</w:t>
            </w:r>
          </w:p>
        </w:tc>
        <w:tc>
          <w:tcPr>
            <w:tcW w:w="7592" w:type="dxa"/>
            <w:vAlign w:val="center"/>
          </w:tcPr>
          <w:p>
            <w:pPr>
              <w:pStyle w:val="4"/>
              <w:spacing w:line="240" w:lineRule="exact"/>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以清单管理推动简政放权。及时向社会公开各类清单。深化部门权责清单公开工作，根据权责事项取消、下放、承接情况动态调整，并采取在政府网站集中发布、开设反馈意见信箱、增加在线提交意见建议功能等方式，让公众了解放权情况，监督放权进程，评价放权效果。行政审批中介服务事项清单、工商登记前置审批事项目录和企业设立后的经营许可清单在政府门户网站或信息公开网上集中发布，接受监督。</w:t>
            </w:r>
          </w:p>
        </w:tc>
        <w:tc>
          <w:tcPr>
            <w:tcW w:w="2520" w:type="dxa"/>
            <w:vMerge w:val="restart"/>
            <w:vAlign w:val="center"/>
          </w:tcPr>
          <w:p>
            <w:pPr>
              <w:pStyle w:val="4"/>
              <w:spacing w:line="240" w:lineRule="exact"/>
              <w:jc w:val="both"/>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行政审批股（政策法规股）、企业个体监管股（商标广告监管股）</w:t>
            </w:r>
          </w:p>
        </w:tc>
        <w:tc>
          <w:tcPr>
            <w:tcW w:w="1575" w:type="dxa"/>
            <w:vMerge w:val="restart"/>
            <w:vAlign w:val="center"/>
          </w:tcPr>
          <w:p>
            <w:pPr>
              <w:pStyle w:val="4"/>
              <w:spacing w:line="24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w:t>
            </w:r>
          </w:p>
        </w:tc>
        <w:tc>
          <w:tcPr>
            <w:tcW w:w="1263"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7592" w:type="dxa"/>
            <w:shd w:val="clear" w:color="auto" w:fill="auto"/>
            <w:vAlign w:val="center"/>
          </w:tcPr>
          <w:p>
            <w:pPr>
              <w:tabs>
                <w:tab w:val="left" w:pos="2041"/>
                <w:tab w:val="center" w:pos="3010"/>
              </w:tabs>
              <w:spacing w:line="28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及时公开法规、规章、规范性文件和其他政策性文件的修改、废止、失效情况，并在政府网站上分类公开发布。</w:t>
            </w:r>
          </w:p>
        </w:tc>
        <w:tc>
          <w:tcPr>
            <w:tcW w:w="2520"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shd w:val="clear" w:color="auto" w:fill="auto"/>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3</w:t>
            </w:r>
          </w:p>
        </w:tc>
        <w:tc>
          <w:tcPr>
            <w:tcW w:w="1263"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7592" w:type="dxa"/>
            <w:shd w:val="clear" w:color="auto" w:fill="auto"/>
            <w:vAlign w:val="center"/>
          </w:tcPr>
          <w:p>
            <w:pPr>
              <w:autoSpaceDE w:val="0"/>
              <w:autoSpaceDN w:val="0"/>
              <w:adjustRightInd w:val="0"/>
              <w:spacing w:line="26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围绕年内实现“双随机、一公开”监管全覆盖目标，汇总形成并统一公布本级随机抽查事项清单，明确抽查依据、主体、内容、方式等，及时通过各类公开平台公开抽查结果和查处情况。</w:t>
            </w:r>
          </w:p>
        </w:tc>
        <w:tc>
          <w:tcPr>
            <w:tcW w:w="2520"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shd w:val="clear" w:color="auto" w:fill="auto"/>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63" w:type="dxa"/>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4</w:t>
            </w:r>
          </w:p>
        </w:tc>
        <w:tc>
          <w:tcPr>
            <w:tcW w:w="1263" w:type="dxa"/>
            <w:vMerge w:val="restart"/>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以政务公开助力调结构</w:t>
            </w:r>
          </w:p>
        </w:tc>
        <w:tc>
          <w:tcPr>
            <w:tcW w:w="1600" w:type="dxa"/>
            <w:vMerge w:val="restart"/>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推进打击违法生产销售公开透明</w:t>
            </w:r>
          </w:p>
        </w:tc>
        <w:tc>
          <w:tcPr>
            <w:tcW w:w="7592" w:type="dxa"/>
            <w:vAlign w:val="center"/>
          </w:tcPr>
          <w:p>
            <w:pPr>
              <w:tabs>
                <w:tab w:val="left" w:pos="3544"/>
              </w:tabs>
              <w:autoSpaceDE w:val="0"/>
              <w:autoSpaceDN w:val="0"/>
              <w:adjustRightInd w:val="0"/>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打击违法生产销售“地条钢”及煤炭行业去产能情况。</w:t>
            </w:r>
          </w:p>
        </w:tc>
        <w:tc>
          <w:tcPr>
            <w:tcW w:w="2520" w:type="dxa"/>
            <w:vMerge w:val="restart"/>
            <w:vAlign w:val="center"/>
          </w:tcPr>
          <w:p>
            <w:pPr>
              <w:autoSpaceDE w:val="0"/>
              <w:autoSpaceDN w:val="0"/>
              <w:adjustRightInd w:val="0"/>
              <w:rPr>
                <w:rFonts w:hint="default" w:ascii="Times New Roman" w:hAnsi="Times New Roman" w:eastAsia="方正仿宋_GBK" w:cs="Times New Roman"/>
                <w:sz w:val="21"/>
                <w:szCs w:val="21"/>
                <w:highlight w:val="yellow"/>
                <w:lang w:eastAsia="zh-CN"/>
              </w:rPr>
            </w:pPr>
            <w:r>
              <w:rPr>
                <w:rFonts w:hint="default" w:ascii="Times New Roman" w:hAnsi="Times New Roman" w:eastAsia="方正仿宋_GBK" w:cs="Times New Roman"/>
                <w:sz w:val="21"/>
                <w:szCs w:val="21"/>
                <w:highlight w:val="none"/>
                <w:lang w:eastAsia="zh-CN"/>
              </w:rPr>
              <w:t>行政执法大队</w:t>
            </w: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63" w:type="dxa"/>
            <w:vAlign w:val="center"/>
          </w:tcPr>
          <w:p>
            <w:pPr>
              <w:pStyle w:val="4"/>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5</w:t>
            </w:r>
          </w:p>
        </w:tc>
        <w:tc>
          <w:tcPr>
            <w:tcW w:w="1263"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tabs>
                <w:tab w:val="left" w:pos="2454"/>
              </w:tabs>
              <w:autoSpaceDE w:val="0"/>
              <w:autoSpaceDN w:val="0"/>
              <w:adjustRightInd w:val="0"/>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充分利用本级政府门户网站，集中发布违法违规生产和不达标情况，并将有关信息提供给“新平县人民政府网”网站同步发布。</w:t>
            </w:r>
          </w:p>
        </w:tc>
        <w:tc>
          <w:tcPr>
            <w:tcW w:w="2520"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6</w:t>
            </w:r>
          </w:p>
        </w:tc>
        <w:tc>
          <w:tcPr>
            <w:tcW w:w="1263" w:type="dxa"/>
            <w:vMerge w:val="restart"/>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以政务公开助力调结构</w:t>
            </w:r>
          </w:p>
        </w:tc>
        <w:tc>
          <w:tcPr>
            <w:tcW w:w="1600" w:type="dxa"/>
            <w:vMerge w:val="restart"/>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推进消费升级和产品质量提升工作公开透明</w:t>
            </w:r>
          </w:p>
        </w:tc>
        <w:tc>
          <w:tcPr>
            <w:tcW w:w="7592" w:type="dxa"/>
            <w:shd w:val="clear" w:color="auto" w:fill="auto"/>
            <w:vAlign w:val="center"/>
          </w:tcPr>
          <w:p>
            <w:pPr>
              <w:pStyle w:val="4"/>
              <w:spacing w:line="240" w:lineRule="exact"/>
              <w:jc w:val="both"/>
              <w:rPr>
                <w:rFonts w:hint="default" w:ascii="Times New Roman" w:hAnsi="Times New Roman" w:eastAsia="方正仿宋_GBK" w:cs="Times New Roman"/>
                <w:sz w:val="21"/>
                <w:szCs w:val="21"/>
                <w:highlight w:val="yellow"/>
              </w:rPr>
            </w:pPr>
            <w:r>
              <w:rPr>
                <w:rFonts w:hint="default" w:ascii="Times New Roman" w:hAnsi="Times New Roman" w:eastAsia="方正仿宋_GBK" w:cs="Times New Roman"/>
                <w:sz w:val="21"/>
                <w:szCs w:val="21"/>
                <w:highlight w:val="none"/>
              </w:rPr>
              <w:t>定期发布消费市场运行情况分析报告，重点公开与群众密切相关的消费品和全域旅游、体育健身、医养结合、健康管理、文化创意等新兴服务业的消费情况，引导消费升级。</w:t>
            </w:r>
          </w:p>
        </w:tc>
        <w:tc>
          <w:tcPr>
            <w:tcW w:w="2520" w:type="dxa"/>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市场监督管</w:t>
            </w:r>
            <w:r>
              <w:rPr>
                <w:rFonts w:hint="default" w:ascii="Times New Roman" w:hAnsi="Times New Roman" w:eastAsia="方正仿宋_GBK" w:cs="Times New Roman"/>
                <w:color w:val="000000"/>
                <w:sz w:val="21"/>
                <w:szCs w:val="21"/>
                <w:lang w:eastAsia="zh-CN"/>
              </w:rPr>
              <w:t>股（合同监管股）</w:t>
            </w:r>
          </w:p>
        </w:tc>
        <w:tc>
          <w:tcPr>
            <w:tcW w:w="1575" w:type="dxa"/>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按月度、季度公布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7</w:t>
            </w:r>
          </w:p>
        </w:tc>
        <w:tc>
          <w:tcPr>
            <w:tcW w:w="1263" w:type="dxa"/>
            <w:vMerge w:val="continue"/>
            <w:tcBorders>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7592" w:type="dxa"/>
            <w:shd w:val="clear" w:color="auto" w:fill="auto"/>
            <w:vAlign w:val="center"/>
          </w:tcPr>
          <w:p>
            <w:pPr>
              <w:tabs>
                <w:tab w:val="left" w:pos="2016"/>
              </w:tabs>
              <w:spacing w:line="260" w:lineRule="exact"/>
              <w:rPr>
                <w:rFonts w:hint="default" w:ascii="Times New Roman" w:hAnsi="Times New Roman" w:eastAsia="方正仿宋_GBK" w:cs="Times New Roman"/>
                <w:sz w:val="21"/>
                <w:szCs w:val="21"/>
                <w:highlight w:val="yellow"/>
              </w:rPr>
            </w:pPr>
            <w:r>
              <w:rPr>
                <w:rFonts w:hint="default" w:ascii="Times New Roman" w:hAnsi="Times New Roman" w:eastAsia="方正仿宋_GBK" w:cs="Times New Roman"/>
                <w:sz w:val="21"/>
                <w:szCs w:val="21"/>
                <w:highlight w:val="none"/>
              </w:rPr>
              <w:t>推进产品质量监管政策法规、内容、标准、程序和结果公开。</w:t>
            </w:r>
          </w:p>
        </w:tc>
        <w:tc>
          <w:tcPr>
            <w:tcW w:w="2520" w:type="dxa"/>
            <w:vMerge w:val="restart"/>
            <w:shd w:val="clear" w:color="auto" w:fill="auto"/>
            <w:vAlign w:val="center"/>
          </w:tcPr>
          <w:p>
            <w:pPr>
              <w:pStyle w:val="4"/>
              <w:jc w:val="both"/>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质量计量标准化监管股</w:t>
            </w:r>
          </w:p>
        </w:tc>
        <w:tc>
          <w:tcPr>
            <w:tcW w:w="1575" w:type="dxa"/>
            <w:vMerge w:val="restart"/>
            <w:shd w:val="clear" w:color="auto" w:fill="auto"/>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8</w:t>
            </w:r>
          </w:p>
        </w:tc>
        <w:tc>
          <w:tcPr>
            <w:tcW w:w="1263" w:type="dxa"/>
            <w:vMerge w:val="restart"/>
            <w:tcBorders>
              <w:top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以政务公开助力调结构</w:t>
            </w:r>
          </w:p>
        </w:tc>
        <w:tc>
          <w:tcPr>
            <w:tcW w:w="1600" w:type="dxa"/>
            <w:vMerge w:val="restart"/>
            <w:tcBorders>
              <w:top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推进消费升级和产品质量提升工作公开透明</w:t>
            </w:r>
          </w:p>
        </w:tc>
        <w:tc>
          <w:tcPr>
            <w:tcW w:w="7592" w:type="dxa"/>
            <w:shd w:val="clear" w:color="auto" w:fill="auto"/>
            <w:vAlign w:val="center"/>
          </w:tcPr>
          <w:p>
            <w:pPr>
              <w:tabs>
                <w:tab w:val="left" w:pos="2279"/>
              </w:tabs>
              <w:spacing w:line="260" w:lineRule="exact"/>
              <w:rPr>
                <w:rFonts w:hint="default" w:ascii="Times New Roman" w:hAnsi="Times New Roman" w:eastAsia="方正仿宋_GBK" w:cs="Times New Roman"/>
                <w:sz w:val="21"/>
                <w:szCs w:val="21"/>
                <w:highlight w:val="yellow"/>
              </w:rPr>
            </w:pPr>
            <w:r>
              <w:rPr>
                <w:rFonts w:hint="default" w:ascii="Times New Roman" w:hAnsi="Times New Roman" w:eastAsia="方正仿宋_GBK" w:cs="Times New Roman"/>
                <w:sz w:val="21"/>
                <w:szCs w:val="21"/>
                <w:highlight w:val="none"/>
              </w:rPr>
              <w:t>按照质检总局要求，推动我县推荐性地方标准全文公开。</w:t>
            </w:r>
          </w:p>
        </w:tc>
        <w:tc>
          <w:tcPr>
            <w:tcW w:w="2520"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shd w:val="clear" w:color="auto" w:fill="auto"/>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9</w:t>
            </w:r>
          </w:p>
        </w:tc>
        <w:tc>
          <w:tcPr>
            <w:tcW w:w="1263" w:type="dxa"/>
            <w:vMerge w:val="continue"/>
            <w:tcBorders>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7592" w:type="dxa"/>
            <w:shd w:val="clear" w:color="auto" w:fill="auto"/>
            <w:vAlign w:val="center"/>
          </w:tcPr>
          <w:p>
            <w:pPr>
              <w:tabs>
                <w:tab w:val="left" w:pos="2442"/>
              </w:tabs>
              <w:autoSpaceDE w:val="0"/>
              <w:autoSpaceDN w:val="0"/>
              <w:adjustRightInd w:val="0"/>
              <w:spacing w:line="240" w:lineRule="exact"/>
              <w:rPr>
                <w:rFonts w:hint="default" w:ascii="Times New Roman" w:hAnsi="Times New Roman" w:eastAsia="方正仿宋_GBK" w:cs="Times New Roman"/>
                <w:sz w:val="21"/>
                <w:szCs w:val="21"/>
                <w:highlight w:val="yellow"/>
              </w:rPr>
            </w:pPr>
            <w:r>
              <w:rPr>
                <w:rFonts w:hint="default" w:ascii="Times New Roman" w:hAnsi="Times New Roman" w:eastAsia="方正仿宋_GBK" w:cs="Times New Roman"/>
                <w:sz w:val="21"/>
                <w:szCs w:val="21"/>
                <w:highlight w:val="none"/>
              </w:rPr>
              <w:t>做好质量提升行动、执法专项行动信息公开。发布中国品牌价值评价结果，公开对质量违法行为的执法记录、缺陷产品名单及后续处理情况，促进中高端产品供给。</w:t>
            </w:r>
          </w:p>
        </w:tc>
        <w:tc>
          <w:tcPr>
            <w:tcW w:w="2520" w:type="dxa"/>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质量计量标准化监管股</w:t>
            </w:r>
          </w:p>
        </w:tc>
        <w:tc>
          <w:tcPr>
            <w:tcW w:w="1575" w:type="dxa"/>
            <w:vMerge w:val="continue"/>
            <w:shd w:val="clear" w:color="auto" w:fill="auto"/>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10</w:t>
            </w:r>
          </w:p>
        </w:tc>
        <w:tc>
          <w:tcPr>
            <w:tcW w:w="1263" w:type="dxa"/>
            <w:vMerge w:val="restart"/>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以政务公开助力调结构</w:t>
            </w:r>
          </w:p>
        </w:tc>
        <w:tc>
          <w:tcPr>
            <w:tcW w:w="1600" w:type="dxa"/>
            <w:vMerge w:val="restart"/>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推进消费升级和产品质量提升工作公开透明</w:t>
            </w:r>
          </w:p>
        </w:tc>
        <w:tc>
          <w:tcPr>
            <w:tcW w:w="7592" w:type="dxa"/>
            <w:shd w:val="clear" w:color="auto" w:fill="auto"/>
            <w:vAlign w:val="center"/>
          </w:tcPr>
          <w:p>
            <w:pPr>
              <w:tabs>
                <w:tab w:val="left" w:pos="2367"/>
              </w:tabs>
              <w:autoSpaceDE w:val="0"/>
              <w:autoSpaceDN w:val="0"/>
              <w:adjustRightInd w:val="0"/>
              <w:spacing w:line="260" w:lineRule="exact"/>
              <w:rPr>
                <w:rFonts w:hint="default" w:ascii="Times New Roman" w:hAnsi="Times New Roman" w:eastAsia="方正仿宋_GBK" w:cs="Times New Roman"/>
                <w:sz w:val="21"/>
                <w:szCs w:val="21"/>
                <w:highlight w:val="yellow"/>
              </w:rPr>
            </w:pPr>
            <w:r>
              <w:rPr>
                <w:rFonts w:hint="default" w:ascii="Times New Roman" w:hAnsi="Times New Roman" w:eastAsia="方正仿宋_GBK" w:cs="Times New Roman"/>
                <w:sz w:val="21"/>
                <w:szCs w:val="21"/>
                <w:highlight w:val="none"/>
              </w:rPr>
              <w:t>及时公布流通领域商品质量抽检结果。</w:t>
            </w:r>
          </w:p>
        </w:tc>
        <w:tc>
          <w:tcPr>
            <w:tcW w:w="2520" w:type="dxa"/>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市场监督管</w:t>
            </w:r>
            <w:r>
              <w:rPr>
                <w:rFonts w:hint="default" w:ascii="Times New Roman" w:hAnsi="Times New Roman" w:eastAsia="方正仿宋_GBK" w:cs="Times New Roman"/>
                <w:color w:val="000000"/>
                <w:sz w:val="21"/>
                <w:szCs w:val="21"/>
                <w:lang w:eastAsia="zh-CN"/>
              </w:rPr>
              <w:t>股（合同监管股）</w:t>
            </w:r>
          </w:p>
        </w:tc>
        <w:tc>
          <w:tcPr>
            <w:tcW w:w="1575" w:type="dxa"/>
            <w:vMerge w:val="restart"/>
            <w:shd w:val="clear" w:color="auto" w:fill="auto"/>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11</w:t>
            </w:r>
          </w:p>
        </w:tc>
        <w:tc>
          <w:tcPr>
            <w:tcW w:w="1263"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7592" w:type="dxa"/>
            <w:shd w:val="clear" w:color="auto" w:fill="auto"/>
            <w:vAlign w:val="center"/>
          </w:tcPr>
          <w:p>
            <w:pPr>
              <w:tabs>
                <w:tab w:val="left" w:pos="2317"/>
              </w:tabs>
              <w:autoSpaceDE w:val="0"/>
              <w:autoSpaceDN w:val="0"/>
              <w:adjustRightInd w:val="0"/>
              <w:spacing w:line="260" w:lineRule="exact"/>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全面公开机构检验资格许可等行政审批信息。做好消费者诉求数据分析结果公开工作。</w:t>
            </w:r>
          </w:p>
        </w:tc>
        <w:tc>
          <w:tcPr>
            <w:tcW w:w="2520" w:type="dxa"/>
            <w:shd w:val="clear" w:color="auto" w:fill="auto"/>
            <w:vAlign w:val="center"/>
          </w:tcPr>
          <w:p>
            <w:pPr>
              <w:pStyle w:val="4"/>
              <w:jc w:val="both"/>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质量计量和标准化监管股、行政执法大队</w:t>
            </w:r>
          </w:p>
        </w:tc>
        <w:tc>
          <w:tcPr>
            <w:tcW w:w="1575" w:type="dxa"/>
            <w:vMerge w:val="continue"/>
            <w:shd w:val="clear" w:color="auto" w:fill="auto"/>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12</w:t>
            </w:r>
          </w:p>
        </w:tc>
        <w:tc>
          <w:tcPr>
            <w:tcW w:w="1263"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7592" w:type="dxa"/>
            <w:shd w:val="clear" w:color="auto" w:fill="auto"/>
            <w:vAlign w:val="center"/>
          </w:tcPr>
          <w:p>
            <w:pPr>
              <w:autoSpaceDE w:val="0"/>
              <w:autoSpaceDN w:val="0"/>
              <w:adjustRightInd w:val="0"/>
              <w:spacing w:line="260" w:lineRule="exact"/>
              <w:rPr>
                <w:rFonts w:hint="default" w:ascii="Times New Roman" w:hAnsi="Times New Roman" w:eastAsia="方正仿宋_GBK" w:cs="Times New Roman"/>
                <w:sz w:val="21"/>
                <w:szCs w:val="21"/>
                <w:highlight w:val="yellow"/>
              </w:rPr>
            </w:pPr>
            <w:r>
              <w:rPr>
                <w:rFonts w:hint="default" w:ascii="Times New Roman" w:hAnsi="Times New Roman" w:eastAsia="方正仿宋_GBK" w:cs="Times New Roman"/>
                <w:sz w:val="21"/>
                <w:szCs w:val="21"/>
                <w:highlight w:val="none"/>
              </w:rPr>
              <w:t>对企业作出的行政许可准予、变更、延续、撤销以及行政处罚等信息通过相关平台进行归集，并进行公示。</w:t>
            </w:r>
          </w:p>
        </w:tc>
        <w:tc>
          <w:tcPr>
            <w:tcW w:w="2520" w:type="dxa"/>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行政审批股（政策法规股）、</w:t>
            </w:r>
            <w:r>
              <w:rPr>
                <w:rFonts w:hint="default" w:ascii="Times New Roman" w:hAnsi="Times New Roman" w:eastAsia="方正仿宋_GBK" w:cs="Times New Roman"/>
                <w:color w:val="000000"/>
                <w:sz w:val="21"/>
                <w:szCs w:val="21"/>
                <w:lang w:val="en-US" w:eastAsia="zh-CN"/>
              </w:rPr>
              <w:t xml:space="preserve"> 市场监督管理</w:t>
            </w:r>
            <w:r>
              <w:rPr>
                <w:rFonts w:hint="default" w:ascii="Times New Roman" w:hAnsi="Times New Roman" w:eastAsia="方正仿宋_GBK" w:cs="Times New Roman"/>
                <w:color w:val="000000"/>
                <w:sz w:val="21"/>
                <w:szCs w:val="21"/>
                <w:lang w:eastAsia="zh-CN"/>
              </w:rPr>
              <w:t>行政执法大队</w:t>
            </w:r>
          </w:p>
        </w:tc>
        <w:tc>
          <w:tcPr>
            <w:tcW w:w="1575" w:type="dxa"/>
            <w:vMerge w:val="continue"/>
            <w:shd w:val="clear" w:color="auto" w:fill="auto"/>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13</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restart"/>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highlight w:val="yellow"/>
              </w:rPr>
            </w:pPr>
            <w:r>
              <w:rPr>
                <w:rFonts w:hint="default" w:ascii="Times New Roman" w:hAnsi="Times New Roman" w:eastAsia="方正仿宋_GBK" w:cs="Times New Roman"/>
                <w:color w:val="000000"/>
                <w:sz w:val="21"/>
                <w:szCs w:val="21"/>
                <w:highlight w:val="none"/>
              </w:rPr>
              <w:t>推进食品药品安全领域信息公开</w:t>
            </w:r>
          </w:p>
        </w:tc>
        <w:tc>
          <w:tcPr>
            <w:tcW w:w="7592" w:type="dxa"/>
            <w:vAlign w:val="center"/>
          </w:tcPr>
          <w:p>
            <w:pPr>
              <w:widowControl/>
              <w:tabs>
                <w:tab w:val="left" w:pos="2079"/>
              </w:tabs>
              <w:spacing w:line="260" w:lineRule="exact"/>
              <w:rPr>
                <w:rFonts w:hint="default" w:ascii="Times New Roman" w:hAnsi="Times New Roman" w:eastAsia="方正仿宋_GBK" w:cs="Times New Roman"/>
                <w:sz w:val="21"/>
                <w:szCs w:val="21"/>
                <w:highlight w:val="yellow"/>
              </w:rPr>
            </w:pPr>
            <w:r>
              <w:rPr>
                <w:rFonts w:hint="default" w:ascii="Times New Roman" w:hAnsi="Times New Roman" w:eastAsia="方正仿宋_GBK" w:cs="Times New Roman"/>
                <w:sz w:val="21"/>
                <w:szCs w:val="21"/>
                <w:highlight w:val="none"/>
              </w:rPr>
              <w:t>做好食品安全地方标准和食品安全企业标准的有关文本公开，继续加强食品安全标准的宣传贯彻。</w:t>
            </w:r>
          </w:p>
        </w:tc>
        <w:tc>
          <w:tcPr>
            <w:tcW w:w="2520" w:type="dxa"/>
            <w:vAlign w:val="center"/>
          </w:tcPr>
          <w:p>
            <w:pPr>
              <w:pStyle w:val="4"/>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食品生产流通监管股、餐饮食品监管股</w:t>
            </w:r>
          </w:p>
        </w:tc>
        <w:tc>
          <w:tcPr>
            <w:tcW w:w="1575" w:type="dxa"/>
            <w:vMerge w:val="restart"/>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14</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highlight w:val="yellow"/>
              </w:rPr>
            </w:pPr>
          </w:p>
        </w:tc>
        <w:tc>
          <w:tcPr>
            <w:tcW w:w="7592" w:type="dxa"/>
            <w:vAlign w:val="center"/>
          </w:tcPr>
          <w:p>
            <w:pPr>
              <w:widowControl/>
              <w:tabs>
                <w:tab w:val="left" w:pos="1828"/>
              </w:tabs>
              <w:spacing w:line="260" w:lineRule="exact"/>
              <w:rPr>
                <w:rFonts w:hint="default" w:ascii="Times New Roman" w:hAnsi="Times New Roman" w:eastAsia="方正仿宋_GBK" w:cs="Times New Roman"/>
                <w:sz w:val="21"/>
                <w:szCs w:val="21"/>
                <w:highlight w:val="yellow"/>
              </w:rPr>
            </w:pPr>
            <w:r>
              <w:rPr>
                <w:rFonts w:hint="default" w:ascii="Times New Roman" w:hAnsi="Times New Roman" w:eastAsia="方正仿宋_GBK" w:cs="Times New Roman"/>
                <w:sz w:val="21"/>
                <w:szCs w:val="21"/>
                <w:highlight w:val="none"/>
              </w:rPr>
              <w:t>加强食品药品行政处罚案件信息公开专栏建设与内容保障，采取“曝光台”“黑名单”等形式加大违法违纪曝光力度，实时公开有关行政处罚案件处理情况信息。</w:t>
            </w:r>
          </w:p>
        </w:tc>
        <w:tc>
          <w:tcPr>
            <w:tcW w:w="2520" w:type="dxa"/>
            <w:vMerge w:val="restart"/>
            <w:vAlign w:val="center"/>
          </w:tcPr>
          <w:p>
            <w:pPr>
              <w:pStyle w:val="4"/>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食品生产流通监管股、餐饮食品监管股、药品医疗器械化妆品监管股、行政执法大队</w:t>
            </w: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15</w:t>
            </w:r>
          </w:p>
        </w:tc>
        <w:tc>
          <w:tcPr>
            <w:tcW w:w="1263"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highlight w:val="yellow"/>
              </w:rPr>
            </w:pPr>
          </w:p>
        </w:tc>
        <w:tc>
          <w:tcPr>
            <w:tcW w:w="7592" w:type="dxa"/>
            <w:shd w:val="clear" w:color="auto" w:fill="auto"/>
            <w:vAlign w:val="center"/>
          </w:tcPr>
          <w:p>
            <w:pPr>
              <w:pStyle w:val="4"/>
              <w:spacing w:line="260" w:lineRule="exact"/>
              <w:jc w:val="both"/>
              <w:rPr>
                <w:rFonts w:hint="default" w:ascii="Times New Roman" w:hAnsi="Times New Roman" w:eastAsia="方正仿宋_GBK" w:cs="Times New Roman"/>
                <w:color w:val="000000"/>
                <w:sz w:val="21"/>
                <w:szCs w:val="21"/>
                <w:highlight w:val="yellow"/>
              </w:rPr>
            </w:pPr>
            <w:r>
              <w:rPr>
                <w:rFonts w:hint="default" w:ascii="Times New Roman" w:hAnsi="Times New Roman" w:eastAsia="方正仿宋_GBK" w:cs="Times New Roman"/>
                <w:color w:val="000000"/>
                <w:sz w:val="21"/>
                <w:szCs w:val="21"/>
                <w:highlight w:val="none"/>
              </w:rPr>
              <w:t>加大食品药品监管和食品药品安全违法行为处罚信息公开。</w:t>
            </w:r>
          </w:p>
        </w:tc>
        <w:tc>
          <w:tcPr>
            <w:tcW w:w="2520"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16</w:t>
            </w:r>
          </w:p>
        </w:tc>
        <w:tc>
          <w:tcPr>
            <w:tcW w:w="1263"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highlight w:val="yellow"/>
              </w:rPr>
            </w:pPr>
          </w:p>
        </w:tc>
        <w:tc>
          <w:tcPr>
            <w:tcW w:w="7592" w:type="dxa"/>
            <w:shd w:val="clear" w:color="auto" w:fill="auto"/>
            <w:vAlign w:val="center"/>
          </w:tcPr>
          <w:p>
            <w:pPr>
              <w:widowControl/>
              <w:tabs>
                <w:tab w:val="left" w:pos="2016"/>
              </w:tabs>
              <w:spacing w:line="260" w:lineRule="exact"/>
              <w:rPr>
                <w:rFonts w:hint="default" w:ascii="Times New Roman" w:hAnsi="Times New Roman" w:eastAsia="方正仿宋_GBK" w:cs="Times New Roman"/>
                <w:spacing w:val="-6"/>
                <w:sz w:val="21"/>
                <w:szCs w:val="21"/>
                <w:highlight w:val="none"/>
              </w:rPr>
            </w:pPr>
            <w:r>
              <w:rPr>
                <w:rFonts w:hint="default" w:ascii="Times New Roman" w:hAnsi="Times New Roman" w:eastAsia="方正仿宋_GBK" w:cs="Times New Roman"/>
                <w:spacing w:val="-6"/>
                <w:sz w:val="21"/>
                <w:szCs w:val="21"/>
                <w:highlight w:val="none"/>
              </w:rPr>
              <w:t>定期公布食品药品抽检信息总体情况、发现的主要问题和核查处置情况。重点公开食品药品抽检数量、对抽检食品药品的具体购置费用或无偿提供情况。</w:t>
            </w:r>
          </w:p>
        </w:tc>
        <w:tc>
          <w:tcPr>
            <w:tcW w:w="2520" w:type="dxa"/>
            <w:vMerge w:val="continue"/>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575" w:type="dxa"/>
            <w:shd w:val="clear" w:color="auto" w:fill="auto"/>
            <w:vAlign w:val="center"/>
          </w:tcPr>
          <w:p>
            <w:pPr>
              <w:spacing w:line="24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按月度、季度公布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17</w:t>
            </w:r>
          </w:p>
        </w:tc>
        <w:tc>
          <w:tcPr>
            <w:tcW w:w="1263" w:type="dxa"/>
            <w:vMerge w:val="restart"/>
            <w:tcBorders>
              <w:top w:val="single" w:color="auto" w:sz="4" w:space="0"/>
              <w:bottom w:val="single" w:color="auto" w:sz="4" w:space="0"/>
            </w:tcBorders>
            <w:shd w:val="clear" w:color="auto" w:fill="auto"/>
            <w:vAlign w:val="center"/>
          </w:tcPr>
          <w:p>
            <w:pPr>
              <w:pStyle w:val="4"/>
              <w:spacing w:line="240" w:lineRule="exact"/>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以政务公开助力惠民生</w:t>
            </w:r>
          </w:p>
        </w:tc>
        <w:tc>
          <w:tcPr>
            <w:tcW w:w="1600" w:type="dxa"/>
            <w:vMerge w:val="restart"/>
            <w:tcBorders>
              <w:top w:val="single" w:color="auto" w:sz="4" w:space="0"/>
              <w:bottom w:val="single" w:color="auto" w:sz="4" w:space="0"/>
            </w:tcBorders>
            <w:shd w:val="clear" w:color="auto" w:fill="auto"/>
            <w:vAlign w:val="center"/>
          </w:tcPr>
          <w:p>
            <w:pPr>
              <w:pStyle w:val="4"/>
              <w:spacing w:line="240" w:lineRule="exact"/>
              <w:jc w:val="both"/>
              <w:rPr>
                <w:rFonts w:hint="default" w:ascii="Times New Roman" w:hAnsi="Times New Roman" w:eastAsia="方正仿宋_GBK" w:cs="Times New Roman"/>
                <w:color w:val="000000"/>
                <w:sz w:val="21"/>
                <w:szCs w:val="21"/>
                <w:highlight w:val="yellow"/>
              </w:rPr>
            </w:pPr>
            <w:r>
              <w:rPr>
                <w:rFonts w:hint="default" w:ascii="Times New Roman" w:hAnsi="Times New Roman" w:eastAsia="方正仿宋_GBK" w:cs="Times New Roman"/>
                <w:color w:val="000000"/>
                <w:sz w:val="21"/>
                <w:szCs w:val="21"/>
                <w:highlight w:val="none"/>
              </w:rPr>
              <w:t>推进食品药品安全领域信息公开</w:t>
            </w:r>
          </w:p>
        </w:tc>
        <w:tc>
          <w:tcPr>
            <w:tcW w:w="7592" w:type="dxa"/>
            <w:shd w:val="clear" w:color="auto" w:fill="auto"/>
            <w:vAlign w:val="center"/>
          </w:tcPr>
          <w:p>
            <w:pPr>
              <w:widowControl/>
              <w:tabs>
                <w:tab w:val="left" w:pos="2392"/>
              </w:tabs>
              <w:spacing w:line="260" w:lineRule="exact"/>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加强新媒体发布平台建设，强化食品安全定期常态性抽检信息公开机制，增强公众获取抽检结果、了解食品知识的便利性。</w:t>
            </w:r>
          </w:p>
        </w:tc>
        <w:tc>
          <w:tcPr>
            <w:tcW w:w="2520" w:type="dxa"/>
            <w:shd w:val="clear" w:color="auto" w:fill="auto"/>
            <w:vAlign w:val="center"/>
          </w:tcPr>
          <w:p>
            <w:pPr>
              <w:pStyle w:val="4"/>
              <w:jc w:val="both"/>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办公室、</w:t>
            </w:r>
            <w:r>
              <w:rPr>
                <w:rFonts w:hint="default" w:ascii="Times New Roman" w:hAnsi="Times New Roman" w:eastAsia="方正仿宋_GBK" w:cs="Times New Roman"/>
                <w:sz w:val="21"/>
                <w:szCs w:val="21"/>
                <w:lang w:eastAsia="zh-CN"/>
              </w:rPr>
              <w:t>食品生产流通监管股、餐饮食品监管股、药品医疗器械化妆品监管股</w:t>
            </w:r>
          </w:p>
        </w:tc>
        <w:tc>
          <w:tcPr>
            <w:tcW w:w="1575" w:type="dxa"/>
            <w:shd w:val="clear" w:color="auto" w:fill="auto"/>
            <w:vAlign w:val="center"/>
          </w:tcPr>
          <w:p>
            <w:pPr>
              <w:pStyle w:val="4"/>
              <w:spacing w:line="24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按月度、季度公布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63" w:type="dxa"/>
            <w:shd w:val="clear" w:color="auto" w:fill="auto"/>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18</w:t>
            </w:r>
          </w:p>
        </w:tc>
        <w:tc>
          <w:tcPr>
            <w:tcW w:w="1263"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shd w:val="clear" w:color="auto" w:fill="auto"/>
            <w:vAlign w:val="center"/>
          </w:tcPr>
          <w:p>
            <w:pPr>
              <w:pStyle w:val="4"/>
              <w:jc w:val="both"/>
              <w:rPr>
                <w:rFonts w:hint="default" w:ascii="Times New Roman" w:hAnsi="Times New Roman" w:eastAsia="方正仿宋_GBK" w:cs="Times New Roman"/>
                <w:color w:val="000000"/>
                <w:sz w:val="21"/>
                <w:szCs w:val="21"/>
                <w:highlight w:val="yellow"/>
              </w:rPr>
            </w:pPr>
          </w:p>
        </w:tc>
        <w:tc>
          <w:tcPr>
            <w:tcW w:w="7592" w:type="dxa"/>
            <w:shd w:val="clear" w:color="auto" w:fill="auto"/>
            <w:vAlign w:val="center"/>
          </w:tcPr>
          <w:p>
            <w:pPr>
              <w:widowControl/>
              <w:tabs>
                <w:tab w:val="left" w:pos="2442"/>
              </w:tabs>
              <w:spacing w:line="260" w:lineRule="exact"/>
              <w:rPr>
                <w:rFonts w:hint="default" w:ascii="Times New Roman" w:hAnsi="Times New Roman" w:eastAsia="方正仿宋_GBK" w:cs="Times New Roman"/>
                <w:spacing w:val="-6"/>
                <w:sz w:val="21"/>
                <w:szCs w:val="21"/>
                <w:highlight w:val="none"/>
              </w:rPr>
            </w:pPr>
            <w:r>
              <w:rPr>
                <w:rFonts w:hint="default" w:ascii="Times New Roman" w:hAnsi="Times New Roman" w:eastAsia="方正仿宋_GBK" w:cs="Times New Roman"/>
                <w:spacing w:val="-6"/>
                <w:sz w:val="21"/>
                <w:szCs w:val="21"/>
                <w:highlight w:val="none"/>
              </w:rPr>
              <w:t>进一步做好药品有关产品召回、停产整顿、收回或撤销证书等信息公开工作。</w:t>
            </w:r>
          </w:p>
        </w:tc>
        <w:tc>
          <w:tcPr>
            <w:tcW w:w="2520" w:type="dxa"/>
            <w:shd w:val="clear" w:color="auto" w:fill="auto"/>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sz w:val="21"/>
                <w:szCs w:val="21"/>
                <w:lang w:eastAsia="zh-CN"/>
              </w:rPr>
              <w:t>药品医疗器械化妆品监管股</w:t>
            </w:r>
          </w:p>
        </w:tc>
        <w:tc>
          <w:tcPr>
            <w:tcW w:w="1575" w:type="dxa"/>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19</w:t>
            </w:r>
          </w:p>
        </w:tc>
        <w:tc>
          <w:tcPr>
            <w:tcW w:w="1263" w:type="dxa"/>
            <w:vMerge w:val="continue"/>
            <w:tcBorders>
              <w:top w:val="single" w:color="auto" w:sz="4" w:space="0"/>
              <w:bottom w:val="single" w:color="auto" w:sz="4" w:space="0"/>
            </w:tcBorders>
            <w:vAlign w:val="center"/>
          </w:tcPr>
          <w:p>
            <w:pPr>
              <w:pStyle w:val="4"/>
              <w:jc w:val="center"/>
              <w:rPr>
                <w:rFonts w:hint="default" w:ascii="Times New Roman" w:hAnsi="Times New Roman" w:eastAsia="方正仿宋_GBK" w:cs="Times New Roman"/>
                <w:color w:val="000000"/>
                <w:sz w:val="21"/>
                <w:szCs w:val="21"/>
              </w:rPr>
            </w:pPr>
          </w:p>
        </w:tc>
        <w:tc>
          <w:tcPr>
            <w:tcW w:w="1600" w:type="dxa"/>
            <w:vMerge w:val="restart"/>
            <w:tcBorders>
              <w:top w:val="single" w:color="auto" w:sz="4" w:space="0"/>
              <w:bottom w:val="single" w:color="auto" w:sz="4" w:space="0"/>
            </w:tcBorders>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进一步健全解读回应机制</w:t>
            </w:r>
          </w:p>
        </w:tc>
        <w:tc>
          <w:tcPr>
            <w:tcW w:w="7592" w:type="dxa"/>
            <w:vAlign w:val="center"/>
          </w:tcPr>
          <w:p>
            <w:pPr>
              <w:pStyle w:val="4"/>
              <w:spacing w:line="240" w:lineRule="exact"/>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重要改革方案和重大政策措施，除保密事项外，应在决策前向社会公布草案、决策依据，广泛听取意见。</w:t>
            </w:r>
          </w:p>
        </w:tc>
        <w:tc>
          <w:tcPr>
            <w:tcW w:w="2520" w:type="dxa"/>
            <w:vAlign w:val="center"/>
          </w:tcPr>
          <w:p>
            <w:pPr>
              <w:autoSpaceDE w:val="0"/>
              <w:autoSpaceDN w:val="0"/>
              <w:adjustRightInd w:val="0"/>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sz w:val="21"/>
                <w:szCs w:val="21"/>
                <w:lang w:eastAsia="zh-CN"/>
              </w:rPr>
              <w:t>办公室、</w:t>
            </w:r>
            <w:r>
              <w:rPr>
                <w:rFonts w:hint="default" w:ascii="Times New Roman" w:hAnsi="Times New Roman" w:eastAsia="方正仿宋_GBK" w:cs="Times New Roman"/>
                <w:color w:val="000000"/>
                <w:sz w:val="21"/>
                <w:szCs w:val="21"/>
                <w:lang w:eastAsia="zh-CN"/>
              </w:rPr>
              <w:t>行政审批股（政策法规股）</w:t>
            </w:r>
          </w:p>
        </w:tc>
        <w:tc>
          <w:tcPr>
            <w:tcW w:w="1575" w:type="dxa"/>
            <w:vMerge w:val="restart"/>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20</w:t>
            </w:r>
          </w:p>
        </w:tc>
        <w:tc>
          <w:tcPr>
            <w:tcW w:w="1263" w:type="dxa"/>
            <w:vMerge w:val="continue"/>
            <w:tcBorders>
              <w:top w:val="single" w:color="auto" w:sz="4" w:space="0"/>
              <w:bottom w:val="single" w:color="auto" w:sz="4" w:space="0"/>
            </w:tcBorders>
            <w:vAlign w:val="center"/>
          </w:tcPr>
          <w:p>
            <w:pPr>
              <w:pStyle w:val="4"/>
              <w:jc w:val="center"/>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tabs>
                <w:tab w:val="left" w:pos="2016"/>
              </w:tabs>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严格政策文件解读源头控制，严格落实《云南省政府系统公文办理联动机制（试行）》（云政办发〔</w:t>
            </w:r>
            <w:r>
              <w:rPr>
                <w:rFonts w:hint="default" w:ascii="Times New Roman" w:hAnsi="Times New Roman" w:eastAsia="方正仿宋_GBK" w:cs="Times New Roman"/>
                <w:sz w:val="21"/>
                <w:szCs w:val="21"/>
                <w:lang w:eastAsia="zh-CN"/>
              </w:rPr>
              <w:t>2017</w:t>
            </w:r>
            <w:r>
              <w:rPr>
                <w:rFonts w:hint="default" w:ascii="Times New Roman" w:hAnsi="Times New Roman" w:eastAsia="方正仿宋_GBK" w:cs="Times New Roman"/>
                <w:sz w:val="21"/>
                <w:szCs w:val="21"/>
              </w:rPr>
              <w:t>〕25号），确保政策解读和公开属性嵌入公文办理程序全过程。按照“谁起草、谁解读”原则，做到政策性文件与解读方案、解读材料同步组织、同步审签、同步部署，有关政策解读材料应按照国务院要求于文件公开后 3 个工作日内在政府网站和媒体发布。</w:t>
            </w:r>
          </w:p>
        </w:tc>
        <w:tc>
          <w:tcPr>
            <w:tcW w:w="2520" w:type="dxa"/>
            <w:vMerge w:val="restart"/>
            <w:vAlign w:val="center"/>
          </w:tcPr>
          <w:p>
            <w:pPr>
              <w:pStyle w:val="4"/>
              <w:jc w:val="both"/>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办公室</w:t>
            </w: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21</w:t>
            </w:r>
          </w:p>
        </w:tc>
        <w:tc>
          <w:tcPr>
            <w:tcW w:w="1263" w:type="dxa"/>
            <w:vMerge w:val="continue"/>
            <w:tcBorders>
              <w:top w:val="single" w:color="auto" w:sz="4" w:space="0"/>
              <w:bottom w:val="single" w:color="auto" w:sz="4" w:space="0"/>
            </w:tcBorders>
            <w:vAlign w:val="center"/>
          </w:tcPr>
          <w:p>
            <w:pPr>
              <w:pStyle w:val="4"/>
              <w:jc w:val="center"/>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tabs>
                <w:tab w:val="left" w:pos="2279"/>
              </w:tabs>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严格落实《云南省人民政府办公厅关于在政务公开工作中进一步做好政务舆情回应的通知》（云政办发〔</w:t>
            </w:r>
            <w:r>
              <w:rPr>
                <w:rFonts w:hint="default" w:ascii="Times New Roman" w:hAnsi="Times New Roman" w:eastAsia="方正仿宋_GBK" w:cs="Times New Roman"/>
                <w:sz w:val="21"/>
                <w:szCs w:val="21"/>
                <w:lang w:eastAsia="zh-CN"/>
              </w:rPr>
              <w:t>2017</w:t>
            </w:r>
            <w:r>
              <w:rPr>
                <w:rFonts w:hint="default" w:ascii="Times New Roman" w:hAnsi="Times New Roman" w:eastAsia="方正仿宋_GBK" w:cs="Times New Roman"/>
                <w:sz w:val="21"/>
                <w:szCs w:val="21"/>
              </w:rPr>
              <w:t>〕106 号）要求，遵循“属地管理、分级负责、谁主管谁负责”原则，加强舆情收集、研判和回应处置，落实通报批评和约谈制度。</w:t>
            </w:r>
          </w:p>
        </w:tc>
        <w:tc>
          <w:tcPr>
            <w:tcW w:w="2520"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22</w:t>
            </w:r>
          </w:p>
        </w:tc>
        <w:tc>
          <w:tcPr>
            <w:tcW w:w="1263" w:type="dxa"/>
            <w:vMerge w:val="continue"/>
            <w:tcBorders>
              <w:top w:val="single" w:color="auto" w:sz="4" w:space="0"/>
              <w:bottom w:val="single" w:color="auto" w:sz="4" w:space="0"/>
            </w:tcBorders>
            <w:vAlign w:val="center"/>
          </w:tcPr>
          <w:p>
            <w:pPr>
              <w:pStyle w:val="4"/>
              <w:jc w:val="center"/>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tabs>
                <w:tab w:val="left" w:pos="5059"/>
              </w:tabs>
              <w:autoSpaceDE w:val="0"/>
              <w:autoSpaceDN w:val="0"/>
              <w:adjustRightInd w:val="0"/>
              <w:spacing w:line="26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严格执行特别重大、重大突发事件最迟 5 小时内发布权威信息、24 小时内举行新闻发布会，并根据进展情况，持续发布权威信息，主要负责人带头主动发声。</w:t>
            </w:r>
          </w:p>
        </w:tc>
        <w:tc>
          <w:tcPr>
            <w:tcW w:w="2520"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24</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restart"/>
            <w:tcBorders>
              <w:top w:val="single" w:color="auto" w:sz="4" w:space="0"/>
              <w:bottom w:val="single" w:color="auto" w:sz="4" w:space="0"/>
            </w:tcBorders>
            <w:vAlign w:val="center"/>
          </w:tcPr>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加强政务公开工作统筹指导</w:t>
            </w:r>
          </w:p>
        </w:tc>
        <w:tc>
          <w:tcPr>
            <w:tcW w:w="7592" w:type="dxa"/>
            <w:vAlign w:val="center"/>
          </w:tcPr>
          <w:p>
            <w:pPr>
              <w:pStyle w:val="4"/>
              <w:spacing w:line="240" w:lineRule="exact"/>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明确政务公开组织领导责任主体，主要负责同志亲自研究和听取重大政务公开事项，部署推进工作；确定1位负责同志分管政务公开工作，列入工作分工，并对外公布。</w:t>
            </w:r>
          </w:p>
        </w:tc>
        <w:tc>
          <w:tcPr>
            <w:tcW w:w="2520" w:type="dxa"/>
            <w:vMerge w:val="restart"/>
            <w:vAlign w:val="center"/>
          </w:tcPr>
          <w:p>
            <w:pPr>
              <w:autoSpaceDE w:val="0"/>
              <w:autoSpaceDN w:val="0"/>
              <w:adjustRightInd w:val="0"/>
              <w:rPr>
                <w:rFonts w:hint="default" w:ascii="Times New Roman" w:hAnsi="Times New Roman" w:eastAsia="方正仿宋_GBK" w:cs="Times New Roman"/>
                <w:b/>
                <w:sz w:val="21"/>
                <w:szCs w:val="21"/>
                <w:lang w:eastAsia="zh-CN"/>
              </w:rPr>
            </w:pPr>
            <w:r>
              <w:rPr>
                <w:rFonts w:hint="default" w:ascii="Times New Roman" w:hAnsi="Times New Roman" w:eastAsia="方正仿宋_GBK" w:cs="Times New Roman"/>
                <w:sz w:val="21"/>
                <w:szCs w:val="21"/>
                <w:lang w:eastAsia="zh-CN"/>
              </w:rPr>
              <w:t>办公室</w:t>
            </w:r>
          </w:p>
        </w:tc>
        <w:tc>
          <w:tcPr>
            <w:tcW w:w="1575" w:type="dxa"/>
            <w:vMerge w:val="restart"/>
            <w:vAlign w:val="center"/>
          </w:tcPr>
          <w:p>
            <w:pPr>
              <w:pStyle w:val="4"/>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25</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tabs>
                <w:tab w:val="left" w:pos="2279"/>
              </w:tabs>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建立政务公开工作台账制度。严格执行保密审查制度，对拟公开的政府信息要依法依规做好保密审查。</w:t>
            </w:r>
          </w:p>
        </w:tc>
        <w:tc>
          <w:tcPr>
            <w:tcW w:w="2520"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26</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restart"/>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依法规范依申请公开工作</w:t>
            </w:r>
          </w:p>
        </w:tc>
        <w:tc>
          <w:tcPr>
            <w:tcW w:w="7592" w:type="dxa"/>
            <w:vAlign w:val="center"/>
          </w:tcPr>
          <w:p>
            <w:pPr>
              <w:autoSpaceDE w:val="0"/>
              <w:autoSpaceDN w:val="0"/>
              <w:adjustRightInd w:val="0"/>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组织学习贯彻国务院年内新修订印发的《政府信息公开条例》。</w:t>
            </w:r>
          </w:p>
        </w:tc>
        <w:tc>
          <w:tcPr>
            <w:tcW w:w="2520"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27</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tabs>
                <w:tab w:val="left" w:pos="2317"/>
              </w:tabs>
              <w:autoSpaceDE w:val="0"/>
              <w:autoSpaceDN w:val="0"/>
              <w:adjustRightInd w:val="0"/>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畅通完善依申请公开受理渠道，依法保障公众合理的信息需求。</w:t>
            </w:r>
          </w:p>
        </w:tc>
        <w:tc>
          <w:tcPr>
            <w:tcW w:w="2520"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28</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tabs>
                <w:tab w:val="left" w:pos="689"/>
              </w:tabs>
              <w:autoSpaceDE w:val="0"/>
              <w:autoSpaceDN w:val="0"/>
              <w:adjustRightInd w:val="0"/>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加强对政府信息依申请公开内容的调查核实，确保事实清楚，程序合法；提升告知书制作水平，提升申请人的认可度，最大限度避免不必要的行政复议和行政诉讼。</w:t>
            </w:r>
          </w:p>
        </w:tc>
        <w:tc>
          <w:tcPr>
            <w:tcW w:w="2520" w:type="dxa"/>
            <w:vMerge w:val="continue"/>
            <w:vAlign w:val="center"/>
          </w:tcPr>
          <w:p>
            <w:pPr>
              <w:pStyle w:val="4"/>
              <w:jc w:val="both"/>
              <w:rPr>
                <w:rFonts w:hint="default" w:ascii="Times New Roman" w:hAnsi="Times New Roman" w:eastAsia="方正仿宋_GBK" w:cs="Times New Roman"/>
                <w:color w:val="000000"/>
                <w:sz w:val="21"/>
                <w:szCs w:val="21"/>
              </w:rPr>
            </w:pPr>
          </w:p>
        </w:tc>
        <w:tc>
          <w:tcPr>
            <w:tcW w:w="1575" w:type="dxa"/>
            <w:vMerge w:val="continue"/>
            <w:vAlign w:val="center"/>
          </w:tcPr>
          <w:p>
            <w:pPr>
              <w:pStyle w:val="4"/>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29</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autoSpaceDE w:val="0"/>
              <w:autoSpaceDN w:val="0"/>
              <w:adjustRightInd w:val="0"/>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进一步规范依申请公开答复工作，严格按照法定时限答复，增强答复内容针对性并明示救济渠道，答复形式要严谨规范。</w:t>
            </w:r>
          </w:p>
        </w:tc>
        <w:tc>
          <w:tcPr>
            <w:tcW w:w="2520" w:type="dxa"/>
            <w:vMerge w:val="continue"/>
            <w:vAlign w:val="center"/>
          </w:tcPr>
          <w:p>
            <w:pPr>
              <w:autoSpaceDE w:val="0"/>
              <w:autoSpaceDN w:val="0"/>
              <w:adjustRightInd w:val="0"/>
              <w:rPr>
                <w:rFonts w:hint="default" w:ascii="Times New Roman" w:hAnsi="Times New Roman" w:eastAsia="方正仿宋_GBK" w:cs="Times New Roman"/>
                <w:sz w:val="21"/>
                <w:szCs w:val="21"/>
              </w:rPr>
            </w:pPr>
          </w:p>
        </w:tc>
        <w:tc>
          <w:tcPr>
            <w:tcW w:w="1575" w:type="dxa"/>
            <w:vMerge w:val="continue"/>
            <w:vAlign w:val="center"/>
          </w:tcPr>
          <w:p>
            <w:pP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center"/>
          </w:tcPr>
          <w:p>
            <w:pPr>
              <w:pStyle w:val="4"/>
              <w:jc w:val="center"/>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30</w:t>
            </w:r>
          </w:p>
        </w:tc>
        <w:tc>
          <w:tcPr>
            <w:tcW w:w="1263"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1600" w:type="dxa"/>
            <w:vMerge w:val="continue"/>
            <w:tcBorders>
              <w:top w:val="single" w:color="auto" w:sz="4" w:space="0"/>
              <w:bottom w:val="single" w:color="auto" w:sz="4" w:space="0"/>
            </w:tcBorders>
            <w:vAlign w:val="center"/>
          </w:tcPr>
          <w:p>
            <w:pPr>
              <w:pStyle w:val="4"/>
              <w:jc w:val="both"/>
              <w:rPr>
                <w:rFonts w:hint="default" w:ascii="Times New Roman" w:hAnsi="Times New Roman" w:eastAsia="方正仿宋_GBK" w:cs="Times New Roman"/>
                <w:color w:val="000000"/>
                <w:sz w:val="21"/>
                <w:szCs w:val="21"/>
              </w:rPr>
            </w:pPr>
          </w:p>
        </w:tc>
        <w:tc>
          <w:tcPr>
            <w:tcW w:w="7592" w:type="dxa"/>
            <w:vAlign w:val="center"/>
          </w:tcPr>
          <w:p>
            <w:pPr>
              <w:tabs>
                <w:tab w:val="left" w:pos="4508"/>
              </w:tabs>
              <w:autoSpaceDE w:val="0"/>
              <w:autoSpaceDN w:val="0"/>
              <w:adjustRightInd w:val="0"/>
              <w:spacing w:line="240" w:lineRule="exact"/>
              <w:rPr>
                <w:rFonts w:hint="default" w:ascii="Times New Roman" w:hAnsi="Times New Roman" w:eastAsia="方正仿宋_GBK" w:cs="Times New Roman"/>
                <w:spacing w:val="-4"/>
                <w:sz w:val="21"/>
                <w:szCs w:val="21"/>
              </w:rPr>
            </w:pPr>
            <w:r>
              <w:rPr>
                <w:rFonts w:hint="default" w:ascii="Times New Roman" w:hAnsi="Times New Roman" w:eastAsia="方正仿宋_GBK" w:cs="Times New Roman"/>
                <w:spacing w:val="-4"/>
                <w:sz w:val="21"/>
                <w:szCs w:val="21"/>
              </w:rPr>
              <w:t>对依申请公开工作中发现的依法行政方面问题，及时向有关单位提出工作建议。对公众申请较为集中的政府信息，可转为主动公开的，应当主动公开。</w:t>
            </w:r>
          </w:p>
        </w:tc>
        <w:tc>
          <w:tcPr>
            <w:tcW w:w="2520" w:type="dxa"/>
            <w:vMerge w:val="continue"/>
            <w:vAlign w:val="center"/>
          </w:tcPr>
          <w:p>
            <w:pPr>
              <w:autoSpaceDE w:val="0"/>
              <w:autoSpaceDN w:val="0"/>
              <w:adjustRightInd w:val="0"/>
              <w:rPr>
                <w:rFonts w:hint="default" w:ascii="Times New Roman" w:hAnsi="Times New Roman" w:eastAsia="方正仿宋_GBK" w:cs="Times New Roman"/>
                <w:sz w:val="21"/>
                <w:szCs w:val="21"/>
              </w:rPr>
            </w:pPr>
          </w:p>
        </w:tc>
        <w:tc>
          <w:tcPr>
            <w:tcW w:w="1575" w:type="dxa"/>
            <w:vMerge w:val="continue"/>
            <w:vAlign w:val="center"/>
          </w:tcPr>
          <w:p>
            <w:pPr>
              <w:rPr>
                <w:rFonts w:hint="default" w:ascii="Times New Roman" w:hAnsi="Times New Roman" w:eastAsia="方正仿宋_GBK" w:cs="Times New Roman"/>
                <w:sz w:val="21"/>
                <w:szCs w:val="21"/>
              </w:rPr>
            </w:pPr>
          </w:p>
        </w:tc>
      </w:tr>
    </w:tbl>
    <w:p>
      <w:pPr>
        <w:spacing w:line="200" w:lineRule="exact"/>
        <w:rPr>
          <w:rFonts w:hint="eastAsia" w:ascii="方正仿宋_GBK" w:eastAsia="方正仿宋_GBK"/>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ﾷￂￋￎ_GB2312">
    <w:altName w:val="Dotum"/>
    <w:panose1 w:val="00000000000000000000"/>
    <w:charset w:val="01"/>
    <w:family w:val="auto"/>
    <w:pitch w:val="default"/>
    <w:sig w:usb0="00000000" w:usb1="00000000" w:usb2="46E4D4AE" w:usb3="03538E18" w:csb0="05BE0818" w:csb1="0012D4E4"/>
  </w:font>
  <w:font w:name="Dotum">
    <w:panose1 w:val="020B0600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02007"/>
    <w:rsid w:val="28F020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5"/>
      </w:tabs>
      <w:jc w:val="left"/>
    </w:pPr>
    <w:rPr>
      <w:rFonts w:ascii="Times New Roman" w:hAnsi="Times New Roman" w:cs="Times New Roman"/>
      <w:kern w:val="1"/>
      <w:sz w:val="18"/>
      <w:szCs w:val="18"/>
    </w:rPr>
  </w:style>
  <w:style w:type="paragraph" w:styleId="3">
    <w:name w:val="header"/>
    <w:basedOn w:val="1"/>
    <w:uiPriority w:val="0"/>
    <w:pPr>
      <w:pBdr>
        <w:bottom w:val="single" w:color="000000" w:sz="6" w:space="1"/>
      </w:pBdr>
      <w:tabs>
        <w:tab w:val="center" w:pos="4153"/>
        <w:tab w:val="right" w:pos="8305"/>
      </w:tabs>
      <w:jc w:val="center"/>
    </w:pPr>
    <w:rPr>
      <w:rFonts w:ascii="Times New Roman" w:hAnsi="Times New Roman" w:cs="Times New Roman"/>
      <w:kern w:val="1"/>
      <w:sz w:val="18"/>
      <w:szCs w:val="18"/>
    </w:rPr>
  </w:style>
  <w:style w:type="paragraph" w:styleId="4">
    <w:name w:val="Normal (Web)"/>
    <w:basedOn w:val="1"/>
    <w:uiPriority w:val="0"/>
    <w:pPr>
      <w:widowControl/>
      <w:jc w:val="left"/>
    </w:pPr>
    <w:rPr>
      <w:rFonts w:ascii="宋体" w:hAnsi="宋体" w:cs="宋体"/>
      <w:color w:val="auto"/>
      <w:sz w:val="24"/>
      <w:szCs w:val="22"/>
    </w:rPr>
  </w:style>
  <w:style w:type="character" w:styleId="6">
    <w:name w:val="page number"/>
    <w:basedOn w:val="5"/>
    <w:uiPriority w:val="0"/>
    <w:rPr>
      <w:rFonts w:ascii="Times New Roman" w:hAnsi="Times New Roman" w:eastAsia="宋体" w:cs="Times New Roman"/>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2017-10-11T07:45:00Z</dcterms:created>
  <dc:creator>lenovo</dc:creator>
  <cp:lastModifiedBy>lenovo</cp:lastModifiedBy>
  <dcterms:modified xsi:type="dcterms:W3CDTF">2017-10-11T07:46:01Z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