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新平县招商合作局2017年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部门预算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补充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3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（一）预算收支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增减变化情况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3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招商局预算收入总额 503.29万元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招商局预算收入总额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156.39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,上年结转结余194.62万元，收入总计351.01万元；2017年比2016年多预算152.28万元，增加43.38%。原因是：招商引资外出考察次数增多、人员增加等。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年招商局预算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支出总额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503.29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，其中：一般公共服务支出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162.59万元，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项目支出290万元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新平县招商引资实绩奖励200万元，招商引资日常工作经费50万元，新平县外派招商工作组经费40万元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），社会保障和就业支出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22.80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万元，医疗卫生与计划生育支出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12.49万元，住房保障支出15.41万元。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招商局预算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206.39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,2017年比2016年多预算296.90万元，增加143.85%。原因是：招商引资外出考察次数增多、人员增加等。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机关运行经费安排情况说明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 xml:space="preserve"> 2017年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招商局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机关运行经费预算支出162.59万元（行政运行，其中：基本工资88.95万元、奖金51.52万元），2016年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招商局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机关运行经费预算支出114.33万元（行政运行，其中：基本工资33.98万元、奖金10.35万元），2017年比2016年多预算48.26万元，增加42.21%。原因是：招商引资外出考察次数增多、人员增加等。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 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）政府采购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2017年招商局无政府采购预算安排。</w:t>
      </w: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新平县招商合作局</w:t>
      </w:r>
    </w:p>
    <w:p>
      <w:pPr>
        <w:ind w:firstLine="5700" w:firstLineChars="19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FD39"/>
    <w:multiLevelType w:val="singleLevel"/>
    <w:tmpl w:val="59EEFD3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4D36"/>
    <w:rsid w:val="48A64D36"/>
    <w:rsid w:val="550A2E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2017-10-24T09:04:00Z</dcterms:created>
  <dc:creator>李元平</dc:creator>
  <cp:lastModifiedBy>李元平</cp:lastModifiedBy>
  <cp:lastPrinted>2017-10-24T09:14:42Z</cp:lastPrinted>
  <dcterms:modified xsi:type="dcterms:W3CDTF">2017-10-24T09:14:46Z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