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1B" w:rsidRPr="00703241" w:rsidRDefault="00971F1B" w:rsidP="00971F1B">
      <w:pPr>
        <w:pStyle w:val="a3"/>
        <w:rPr>
          <w:rFonts w:hAnsi="宋体" w:cs="方正宋三简体"/>
          <w:b/>
          <w:color w:val="6ABC6E"/>
          <w:sz w:val="32"/>
          <w:szCs w:val="3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2"/>
        <w:gridCol w:w="6458"/>
      </w:tblGrid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项目名称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新平县竹材开发利用项目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项目主办单位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新平工业园区管委会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项目建设地点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云南省玉溪市新平工业园区</w:t>
            </w:r>
            <w:proofErr w:type="gramStart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戛</w:t>
            </w:r>
            <w:proofErr w:type="gramEnd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洒片区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建设性质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新建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项目简述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本项目依托新平</w:t>
            </w:r>
            <w:proofErr w:type="gramStart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县丰富</w:t>
            </w:r>
            <w:proofErr w:type="gramEnd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的竹子资源优势，选址于新平工业园区</w:t>
            </w:r>
            <w:proofErr w:type="gramStart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戛</w:t>
            </w:r>
            <w:proofErr w:type="gramEnd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洒片区，新建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条竹材综合产品生产加工线，主要生产竹饮料、竹型材、竹地板、竹编产品、竹工艺品等产品。项目拟占地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150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亩，概算投资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亿元，建设期限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年左右。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项目实施依据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项目符合国家产业转型升级的相关政策，符合国家林业局《全国竹产业发展规划》，符合新平县工业发展规划和园区规划。项目已纳入新平县工业发展中长期规划。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项目主要原料、辅料资源供应及劳动力资源可利用情况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原材料：项目生产所需原材料可在新平县内和周边邻县乡镇采购，新平县现有竹子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40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万亩，周边地区可利用竹子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50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多万亩，能满足企业生产需要。</w:t>
            </w:r>
          </w:p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辅料：项目所需的水、电、气等辅料充足。</w:t>
            </w:r>
          </w:p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劳动力：新平县现有人口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28.9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万，其中劳动力人口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万人，最低工资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1180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元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/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月。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交通运输情况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项目区已通二级公路，周边有国道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G 213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线通过，交通便利。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项目前期准备工作及进展情况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项目选址所在地的土地已征收，实现“三通一平”，具备供地条件。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项目对环境影响的初步评估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本项目采用先进的生产技术，生产设备采用节能、高效、环保、低噪音设备，对“三废”排放采取严格的环保处置措施，做到达标排放，尽量避免和减少对</w:t>
            </w:r>
            <w:proofErr w:type="gramStart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周围环景的</w:t>
            </w:r>
            <w:proofErr w:type="gramEnd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不良影响。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投资估算及资金筹措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投资估算：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</w:t>
            </w:r>
          </w:p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筹措方式：企业自筹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经济、社会效益</w:t>
            </w: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lastRenderedPageBreak/>
              <w:t>初步分析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lastRenderedPageBreak/>
              <w:t xml:space="preserve">　　项目建成达产后，预计每年销售收入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1.5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亿元，利润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0.4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亿元，投资回收期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7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年左右。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lastRenderedPageBreak/>
              <w:t>合作方式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独资</w:t>
            </w:r>
          </w:p>
        </w:tc>
      </w:tr>
      <w:tr w:rsidR="00971F1B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1752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6458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联系单位：新平工业园区管委会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</w:p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系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人：王兴才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                  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联系电话：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13577756771</w:t>
            </w:r>
          </w:p>
          <w:p w:rsidR="00971F1B" w:rsidRPr="00E97BC2" w:rsidRDefault="00971F1B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传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   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真：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0877-7012056       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电子邮箱：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xpxyqb@163.com</w:t>
            </w:r>
          </w:p>
        </w:tc>
      </w:tr>
    </w:tbl>
    <w:p w:rsidR="00112822" w:rsidRPr="00971F1B" w:rsidRDefault="00112822"/>
    <w:sectPr w:rsidR="00112822" w:rsidRPr="00971F1B" w:rsidSect="0011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三简体">
    <w:charset w:val="86"/>
    <w:family w:val="script"/>
    <w:pitch w:val="fixed"/>
    <w:sig w:usb0="00000001" w:usb1="080E0000" w:usb2="00000010" w:usb3="00000000" w:csb0="00040000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F1B"/>
    <w:rsid w:val="00112822"/>
    <w:rsid w:val="00167D75"/>
    <w:rsid w:val="0097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971F1B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MS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2017-04-20T00:21:00Z</dcterms:created>
  <dcterms:modified xsi:type="dcterms:W3CDTF">2017-04-20T00:21:00Z</dcterms:modified>
</cp:coreProperties>
</file>