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b/>
          <w:color w:val="000000"/>
          <w:sz w:val="52"/>
          <w:szCs w:val="52"/>
        </w:rPr>
      </w:pPr>
      <w:bookmarkStart w:id="0" w:name="第七部分部门决算分析报告撰写提纲"/>
      <w:r>
        <w:rPr>
          <w:rFonts w:hint="eastAsia" w:asciiTheme="minorEastAsia" w:hAnsiTheme="minorEastAsia" w:eastAsiaTheme="minorEastAsia"/>
          <w:b/>
          <w:color w:val="000000"/>
          <w:sz w:val="52"/>
          <w:szCs w:val="52"/>
          <w:lang w:eastAsia="zh-CN"/>
        </w:rPr>
        <w:t>新平县审计局</w:t>
      </w:r>
      <w:r>
        <w:rPr>
          <w:rFonts w:hint="eastAsia" w:asciiTheme="minorEastAsia" w:hAnsiTheme="minorEastAsia" w:eastAsiaTheme="minorEastAsia"/>
          <w:b/>
          <w:color w:val="000000"/>
          <w:sz w:val="52"/>
          <w:szCs w:val="52"/>
        </w:rPr>
        <w:t>201</w:t>
      </w:r>
      <w:r>
        <w:rPr>
          <w:rFonts w:hint="eastAsia" w:asciiTheme="minorEastAsia" w:hAnsiTheme="minorEastAsia" w:eastAsiaTheme="minorEastAsia"/>
          <w:b/>
          <w:color w:val="000000"/>
          <w:sz w:val="52"/>
          <w:szCs w:val="52"/>
          <w:lang w:val="en-US" w:eastAsia="zh-CN"/>
        </w:rPr>
        <w:t>7</w:t>
      </w:r>
      <w:r>
        <w:rPr>
          <w:rFonts w:hint="eastAsia" w:asciiTheme="minorEastAsia" w:hAnsiTheme="minorEastAsia" w:eastAsiaTheme="minorEastAsia"/>
          <w:b/>
          <w:color w:val="000000"/>
          <w:sz w:val="52"/>
          <w:szCs w:val="52"/>
        </w:rPr>
        <w:t>年部门决算</w:t>
      </w:r>
      <w:r>
        <w:rPr>
          <w:rFonts w:hint="eastAsia" w:asciiTheme="minorEastAsia" w:hAnsiTheme="minorEastAsia" w:eastAsiaTheme="minorEastAsia"/>
          <w:b/>
          <w:color w:val="000000"/>
          <w:sz w:val="52"/>
          <w:szCs w:val="52"/>
          <w:lang w:val="en-US" w:eastAsia="zh-CN"/>
        </w:rPr>
        <w:t xml:space="preserve">    </w:t>
      </w:r>
      <w:r>
        <w:rPr>
          <w:rFonts w:hint="eastAsia" w:asciiTheme="minorEastAsia" w:hAnsiTheme="minorEastAsia" w:eastAsiaTheme="minorEastAsia"/>
          <w:b/>
          <w:color w:val="000000"/>
          <w:sz w:val="52"/>
          <w:szCs w:val="52"/>
        </w:rPr>
        <w:t>报表分析报告</w:t>
      </w:r>
      <w:bookmarkEnd w:id="0"/>
    </w:p>
    <w:p>
      <w:pPr>
        <w:spacing w:line="360" w:lineRule="auto"/>
        <w:jc w:val="left"/>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lang w:val="en-US" w:eastAsia="zh-CN"/>
        </w:rPr>
        <w:t xml:space="preserve">   </w:t>
      </w:r>
      <w:r>
        <w:rPr>
          <w:rFonts w:hint="eastAsia" w:asciiTheme="minorEastAsia" w:hAnsiTheme="minorEastAsia" w:eastAsiaTheme="minorEastAsia"/>
          <w:color w:val="000000"/>
          <w:sz w:val="32"/>
          <w:szCs w:val="32"/>
        </w:rPr>
        <w:t>201</w:t>
      </w:r>
      <w:r>
        <w:rPr>
          <w:rFonts w:hint="eastAsia" w:asciiTheme="minorEastAsia" w:hAnsiTheme="minorEastAsia" w:eastAsiaTheme="minorEastAsia"/>
          <w:color w:val="000000"/>
          <w:sz w:val="32"/>
          <w:szCs w:val="32"/>
          <w:lang w:val="en-US" w:eastAsia="zh-CN"/>
        </w:rPr>
        <w:t>7</w:t>
      </w:r>
      <w:r>
        <w:rPr>
          <w:rFonts w:hint="eastAsia" w:asciiTheme="minorEastAsia" w:hAnsiTheme="minorEastAsia" w:eastAsiaTheme="minorEastAsia"/>
          <w:color w:val="000000"/>
          <w:sz w:val="32"/>
          <w:szCs w:val="32"/>
        </w:rPr>
        <w:t>年</w:t>
      </w:r>
      <w:r>
        <w:rPr>
          <w:rFonts w:hint="eastAsia" w:asciiTheme="minorEastAsia" w:hAnsiTheme="minorEastAsia" w:eastAsiaTheme="minorEastAsia"/>
          <w:color w:val="000000"/>
          <w:sz w:val="32"/>
          <w:szCs w:val="32"/>
          <w:lang w:eastAsia="zh-CN"/>
        </w:rPr>
        <w:t>新平县审计局</w:t>
      </w:r>
      <w:r>
        <w:rPr>
          <w:rFonts w:hint="eastAsia" w:asciiTheme="minorEastAsia" w:hAnsiTheme="minorEastAsia" w:eastAsiaTheme="minorEastAsia"/>
          <w:color w:val="000000"/>
          <w:sz w:val="32"/>
          <w:szCs w:val="32"/>
        </w:rPr>
        <w:t>在领导</w:t>
      </w:r>
      <w:r>
        <w:rPr>
          <w:rFonts w:hint="eastAsia" w:asciiTheme="minorEastAsia" w:hAnsiTheme="minorEastAsia" w:eastAsiaTheme="minorEastAsia"/>
          <w:color w:val="000000"/>
          <w:sz w:val="32"/>
          <w:szCs w:val="32"/>
          <w:lang w:eastAsia="zh-CN"/>
        </w:rPr>
        <w:t>的正确领导</w:t>
      </w:r>
      <w:r>
        <w:rPr>
          <w:rFonts w:hint="eastAsia" w:asciiTheme="minorEastAsia" w:hAnsiTheme="minorEastAsia" w:eastAsiaTheme="minorEastAsia"/>
          <w:color w:val="000000"/>
          <w:sz w:val="32"/>
          <w:szCs w:val="32"/>
        </w:rPr>
        <w:t>下，认真做好会计基础工作，为地方政府理好财，为当地经济发展服务。部门决算报表是全面反映各部门年度财务收支状况的报表，是决策的重要依据，在财务工作中具有相当重要的作用。201</w:t>
      </w:r>
      <w:r>
        <w:rPr>
          <w:rFonts w:hint="eastAsia" w:asciiTheme="minorEastAsia" w:hAnsiTheme="minorEastAsia" w:eastAsiaTheme="minorEastAsia"/>
          <w:color w:val="000000"/>
          <w:sz w:val="32"/>
          <w:szCs w:val="32"/>
          <w:lang w:val="en-US" w:eastAsia="zh-CN"/>
        </w:rPr>
        <w:t>7</w:t>
      </w:r>
      <w:r>
        <w:rPr>
          <w:rFonts w:hint="eastAsia" w:asciiTheme="minorEastAsia" w:hAnsiTheme="minorEastAsia" w:eastAsiaTheme="minorEastAsia"/>
          <w:color w:val="000000"/>
          <w:sz w:val="32"/>
          <w:szCs w:val="32"/>
        </w:rPr>
        <w:t>年我</w:t>
      </w:r>
      <w:r>
        <w:rPr>
          <w:rFonts w:hint="eastAsia" w:asciiTheme="minorEastAsia" w:hAnsiTheme="minorEastAsia" w:eastAsiaTheme="minorEastAsia"/>
          <w:color w:val="000000"/>
          <w:sz w:val="32"/>
          <w:szCs w:val="32"/>
          <w:lang w:eastAsia="zh-CN"/>
        </w:rPr>
        <w:t>局</w:t>
      </w:r>
      <w:r>
        <w:rPr>
          <w:rFonts w:hint="eastAsia" w:asciiTheme="minorEastAsia" w:hAnsiTheme="minorEastAsia" w:eastAsiaTheme="minorEastAsia"/>
          <w:color w:val="000000"/>
          <w:sz w:val="32"/>
          <w:szCs w:val="32"/>
        </w:rPr>
        <w:t>根据</w:t>
      </w:r>
      <w:r>
        <w:rPr>
          <w:rFonts w:hint="eastAsia" w:asciiTheme="minorEastAsia" w:hAnsiTheme="minorEastAsia" w:eastAsiaTheme="minorEastAsia"/>
          <w:color w:val="000000"/>
          <w:sz w:val="32"/>
          <w:szCs w:val="32"/>
          <w:lang w:eastAsia="zh-CN"/>
        </w:rPr>
        <w:t>省财政厅</w:t>
      </w:r>
      <w:r>
        <w:rPr>
          <w:rFonts w:hint="eastAsia" w:asciiTheme="minorEastAsia" w:hAnsiTheme="minorEastAsia" w:eastAsiaTheme="minorEastAsia"/>
          <w:color w:val="000000"/>
          <w:sz w:val="32"/>
          <w:szCs w:val="32"/>
        </w:rPr>
        <w:t>在决算布置会上的安排，按</w:t>
      </w:r>
      <w:r>
        <w:rPr>
          <w:rFonts w:hint="eastAsia" w:asciiTheme="minorEastAsia" w:hAnsiTheme="minorEastAsia" w:eastAsiaTheme="minorEastAsia"/>
          <w:color w:val="000000"/>
          <w:sz w:val="32"/>
          <w:szCs w:val="32"/>
          <w:lang w:eastAsia="zh-CN"/>
        </w:rPr>
        <w:t>省财政厅</w:t>
      </w:r>
      <w:r>
        <w:rPr>
          <w:rFonts w:hint="eastAsia" w:asciiTheme="minorEastAsia" w:hAnsiTheme="minorEastAsia" w:eastAsiaTheme="minorEastAsia"/>
          <w:color w:val="000000"/>
          <w:sz w:val="32"/>
          <w:szCs w:val="32"/>
        </w:rPr>
        <w:t>的统一编报口径，已及时、完整、准确地编制完成，现对我</w:t>
      </w:r>
      <w:r>
        <w:rPr>
          <w:rFonts w:hint="eastAsia" w:asciiTheme="minorEastAsia" w:hAnsiTheme="minorEastAsia" w:eastAsiaTheme="minorEastAsia"/>
          <w:color w:val="000000"/>
          <w:sz w:val="32"/>
          <w:szCs w:val="32"/>
          <w:lang w:eastAsia="zh-CN"/>
        </w:rPr>
        <w:t>局</w:t>
      </w:r>
      <w:r>
        <w:rPr>
          <w:rFonts w:hint="eastAsia" w:asciiTheme="minorEastAsia" w:hAnsiTheme="minorEastAsia" w:eastAsiaTheme="minorEastAsia"/>
          <w:color w:val="000000"/>
          <w:sz w:val="32"/>
          <w:szCs w:val="32"/>
        </w:rPr>
        <w:t>的报表数据进行全面细致的分析。</w:t>
      </w:r>
    </w:p>
    <w:p>
      <w:pPr>
        <w:numPr>
          <w:ilvl w:val="0"/>
          <w:numId w:val="1"/>
        </w:numPr>
        <w:snapToGrid w:val="0"/>
        <w:spacing w:line="360" w:lineRule="auto"/>
        <w:ind w:left="788" w:leftChars="375"/>
        <w:jc w:val="left"/>
        <w:rPr>
          <w:rFonts w:asciiTheme="minorEastAsia" w:hAnsiTheme="minorEastAsia" w:eastAsiaTheme="minorEastAsia"/>
          <w:b/>
          <w:sz w:val="32"/>
          <w:szCs w:val="32"/>
        </w:rPr>
      </w:pPr>
      <w:r>
        <w:rPr>
          <w:rFonts w:hint="eastAsia" w:asciiTheme="minorEastAsia" w:hAnsiTheme="minorEastAsia" w:eastAsiaTheme="minorEastAsia"/>
          <w:b/>
          <w:sz w:val="32"/>
          <w:szCs w:val="32"/>
        </w:rPr>
        <w:t>部门情况</w:t>
      </w:r>
    </w:p>
    <w:p>
      <w:pPr>
        <w:numPr>
          <w:ilvl w:val="0"/>
          <w:numId w:val="2"/>
        </w:numPr>
        <w:snapToGrid w:val="0"/>
        <w:spacing w:line="360" w:lineRule="auto"/>
        <w:ind w:left="-63" w:leftChars="-30" w:firstLine="643" w:firstLineChars="200"/>
        <w:jc w:val="left"/>
        <w:rPr>
          <w:rFonts w:asciiTheme="minorEastAsia" w:hAnsiTheme="minorEastAsia" w:eastAsiaTheme="minorEastAsia"/>
          <w:b/>
          <w:sz w:val="32"/>
          <w:szCs w:val="32"/>
        </w:rPr>
      </w:pPr>
      <w:r>
        <w:rPr>
          <w:rFonts w:hint="eastAsia" w:asciiTheme="minorEastAsia" w:hAnsiTheme="minorEastAsia" w:eastAsiaTheme="minorEastAsia"/>
          <w:b/>
          <w:sz w:val="32"/>
          <w:szCs w:val="32"/>
        </w:rPr>
        <w:t>基本情况</w:t>
      </w:r>
    </w:p>
    <w:p>
      <w:pPr>
        <w:pStyle w:val="13"/>
        <w:numPr>
          <w:ilvl w:val="0"/>
          <w:numId w:val="3"/>
        </w:numPr>
        <w:snapToGrid w:val="0"/>
        <w:spacing w:line="360" w:lineRule="auto"/>
        <w:ind w:firstLineChars="0"/>
        <w:jc w:val="left"/>
        <w:rPr>
          <w:rFonts w:asciiTheme="minorEastAsia" w:hAnsiTheme="minorEastAsia" w:eastAsiaTheme="minorEastAsia"/>
          <w:sz w:val="32"/>
          <w:szCs w:val="32"/>
        </w:rPr>
      </w:pPr>
      <w:r>
        <w:rPr>
          <w:rFonts w:hint="eastAsia" w:asciiTheme="minorEastAsia" w:hAnsiTheme="minorEastAsia" w:eastAsiaTheme="minorEastAsia"/>
          <w:sz w:val="32"/>
          <w:szCs w:val="32"/>
        </w:rPr>
        <w:t>主要职能</w:t>
      </w:r>
    </w:p>
    <w:p>
      <w:pPr>
        <w:ind w:firstLine="640" w:firstLineChars="200"/>
        <w:rPr>
          <w:rFonts w:hint="eastAsia" w:ascii="宋体" w:hAnsi="宋体" w:cs="宋体"/>
          <w:sz w:val="32"/>
          <w:szCs w:val="32"/>
        </w:rPr>
      </w:pPr>
      <w:r>
        <w:rPr>
          <w:rFonts w:hint="eastAsia" w:ascii="宋体" w:hAnsi="宋体" w:cs="宋体"/>
          <w:sz w:val="32"/>
          <w:szCs w:val="32"/>
        </w:rPr>
        <w:t>主管全县审计工作，负责起草地方性审计规章制度和实施办法并监督执行。向县人民政府和市审计局提出年度县级预算执行和其他财政收支情况的审计结果报告；向县人大常委会提出县级预算执行和其他财政收支情况的审计工作报告、审计发现问题的纠正和处理结果报告；依法向社会公布审计结果。对依法属县审计局审计的事项开展审计，出具审计报告，在法定职权范围内作出审计决定或向有关主管机关提出处理处罚的建议。依法检查审计决定执行情况，督促纠正和处理审计发现的问题，协助配合有关部门查处相关重大案件。承担县委、县政府交办的其他事项。</w:t>
      </w:r>
    </w:p>
    <w:p>
      <w:pPr>
        <w:snapToGrid w:val="0"/>
        <w:spacing w:line="360" w:lineRule="auto"/>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2.机构情况</w:t>
      </w:r>
    </w:p>
    <w:p>
      <w:pPr>
        <w:ind w:firstLine="640" w:firstLineChars="200"/>
        <w:rPr>
          <w:rFonts w:hint="eastAsia" w:ascii="宋体" w:hAnsi="宋体" w:cs="宋体"/>
          <w:b/>
          <w:bCs/>
          <w:sz w:val="32"/>
          <w:szCs w:val="32"/>
        </w:rPr>
      </w:pPr>
      <w:r>
        <w:rPr>
          <w:rFonts w:hint="eastAsia" w:ascii="宋体" w:hAnsi="宋体" w:cs="宋体"/>
          <w:sz w:val="32"/>
          <w:szCs w:val="32"/>
        </w:rPr>
        <w:t>新平县政府办公室2011年5月24日《关于印发新平县审计局主要职责内设机构和人员编制规定的通知》（新政办发〔2011〕78号）的规定，新平县审计局机关设办公室、法规股、财政金融审计股、经济责任审计股、固定资产投资审计股、行政事业审计股6个内设机构；新平县机构编制委员会2012年3月7日《关于成立新平彝族傣族自治县固定资产投资审计中心的批复》（新机编字〔2012〕5号）批复，成立新平彝族傣族自治县固定资产投资审计中心，为县审计局所属全额拨款事业单位，机构规格股级</w:t>
      </w:r>
      <w:r>
        <w:rPr>
          <w:rFonts w:hint="eastAsia" w:ascii="仿宋_GB2312" w:hAnsi="仿宋" w:eastAsia="仿宋_GB2312"/>
          <w:sz w:val="32"/>
          <w:szCs w:val="32"/>
        </w:rPr>
        <w:t>。</w:t>
      </w:r>
    </w:p>
    <w:p>
      <w:pPr>
        <w:spacing w:line="360" w:lineRule="auto"/>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3.人员情况</w:t>
      </w:r>
    </w:p>
    <w:p>
      <w:pPr>
        <w:snapToGrid w:val="0"/>
        <w:spacing w:line="360" w:lineRule="auto"/>
        <w:ind w:firstLine="640" w:firstLineChars="200"/>
        <w:rPr>
          <w:rFonts w:hint="eastAsia" w:ascii="仿宋_GB2312" w:hAnsi="宋体" w:eastAsia="仿宋_GB2312"/>
          <w:sz w:val="30"/>
          <w:szCs w:val="30"/>
        </w:rPr>
      </w:pPr>
      <w:r>
        <w:rPr>
          <w:rFonts w:hint="eastAsia" w:ascii="宋体" w:hAnsi="宋体" w:cs="宋体"/>
          <w:sz w:val="32"/>
          <w:szCs w:val="32"/>
        </w:rPr>
        <w:t>机关行政编制15名，其中：局长1名、副局长2名、主任科员7人、科员4人、工勤人员1人。</w:t>
      </w:r>
      <w:r>
        <w:rPr>
          <w:rFonts w:hint="eastAsia" w:ascii="宋体" w:hAnsi="宋体"/>
          <w:sz w:val="30"/>
          <w:szCs w:val="30"/>
        </w:rPr>
        <w:t>现有在职1</w:t>
      </w:r>
      <w:r>
        <w:rPr>
          <w:rFonts w:hint="eastAsia" w:ascii="宋体" w:hAnsi="宋体"/>
          <w:sz w:val="30"/>
          <w:szCs w:val="30"/>
          <w:lang w:val="en-US" w:eastAsia="zh-CN"/>
        </w:rPr>
        <w:t>1</w:t>
      </w:r>
      <w:r>
        <w:rPr>
          <w:rFonts w:hint="eastAsia" w:ascii="宋体" w:hAnsi="宋体"/>
          <w:sz w:val="30"/>
          <w:szCs w:val="30"/>
        </w:rPr>
        <w:t>人，</w:t>
      </w:r>
      <w:r>
        <w:rPr>
          <w:rFonts w:hint="eastAsia" w:ascii="宋体" w:hAnsi="宋体"/>
          <w:sz w:val="28"/>
          <w:szCs w:val="28"/>
        </w:rPr>
        <w:t>比上年减少</w:t>
      </w:r>
      <w:r>
        <w:rPr>
          <w:rFonts w:hint="eastAsia" w:ascii="宋体" w:hAnsi="宋体"/>
          <w:sz w:val="28"/>
          <w:szCs w:val="28"/>
          <w:lang w:val="en-US" w:eastAsia="zh-CN"/>
        </w:rPr>
        <w:t>1</w:t>
      </w:r>
      <w:r>
        <w:rPr>
          <w:rFonts w:hint="eastAsia" w:ascii="宋体" w:hAnsi="宋体"/>
          <w:sz w:val="28"/>
          <w:szCs w:val="28"/>
        </w:rPr>
        <w:t>人，减少原因为</w:t>
      </w:r>
      <w:r>
        <w:rPr>
          <w:rFonts w:hint="eastAsia" w:ascii="宋体" w:hAnsi="宋体"/>
          <w:sz w:val="28"/>
          <w:szCs w:val="28"/>
          <w:lang w:eastAsia="zh-CN"/>
        </w:rPr>
        <w:t>柴树新调入市审计局</w:t>
      </w:r>
      <w:r>
        <w:rPr>
          <w:rFonts w:hint="eastAsia" w:ascii="宋体" w:hAnsi="宋体"/>
          <w:sz w:val="28"/>
          <w:szCs w:val="28"/>
        </w:rPr>
        <w:t>；事业编制数10人，现有在</w:t>
      </w:r>
      <w:r>
        <w:rPr>
          <w:rFonts w:hint="eastAsia" w:ascii="宋体" w:hAnsi="宋体"/>
          <w:sz w:val="28"/>
          <w:szCs w:val="28"/>
          <w:lang w:eastAsia="zh-CN"/>
        </w:rPr>
        <w:t>职</w:t>
      </w:r>
      <w:r>
        <w:rPr>
          <w:rFonts w:hint="eastAsia" w:ascii="宋体" w:hAnsi="宋体"/>
          <w:sz w:val="28"/>
          <w:szCs w:val="28"/>
        </w:rPr>
        <w:t>职工10人。</w:t>
      </w:r>
    </w:p>
    <w:p>
      <w:pPr>
        <w:spacing w:line="360" w:lineRule="auto"/>
        <w:ind w:firstLine="640" w:firstLineChars="200"/>
        <w:jc w:val="left"/>
        <w:rPr>
          <w:rFonts w:asciiTheme="minorEastAsia" w:hAnsiTheme="minorEastAsia" w:eastAsiaTheme="minorEastAsia"/>
          <w:sz w:val="32"/>
          <w:szCs w:val="32"/>
        </w:rPr>
      </w:pPr>
    </w:p>
    <w:p>
      <w:pPr>
        <w:snapToGrid w:val="0"/>
        <w:spacing w:line="360" w:lineRule="auto"/>
        <w:ind w:firstLine="643" w:firstLineChars="200"/>
        <w:jc w:val="left"/>
        <w:outlineLvl w:val="0"/>
        <w:rPr>
          <w:rFonts w:asciiTheme="minorEastAsia" w:hAnsiTheme="minorEastAsia" w:eastAsiaTheme="minorEastAsia"/>
          <w:b/>
          <w:sz w:val="32"/>
          <w:szCs w:val="32"/>
        </w:rPr>
      </w:pPr>
      <w:r>
        <w:rPr>
          <w:rFonts w:hint="eastAsia" w:asciiTheme="minorEastAsia" w:hAnsiTheme="minorEastAsia" w:eastAsiaTheme="minorEastAsia"/>
          <w:b/>
          <w:sz w:val="32"/>
          <w:szCs w:val="32"/>
        </w:rPr>
        <w:t>(二)当年取得的主要事业成效</w:t>
      </w:r>
    </w:p>
    <w:p>
      <w:pPr>
        <w:ind w:firstLine="640" w:firstLineChars="200"/>
        <w:rPr>
          <w:rFonts w:hint="eastAsia" w:ascii="仿宋_GB2312"/>
          <w:sz w:val="32"/>
          <w:szCs w:val="32"/>
        </w:rPr>
      </w:pPr>
      <w:r>
        <w:rPr>
          <w:rFonts w:hint="eastAsia" w:ascii="仿宋_GB2312" w:hAnsi="宋体"/>
          <w:sz w:val="32"/>
          <w:szCs w:val="32"/>
        </w:rPr>
        <w:t>201</w:t>
      </w:r>
      <w:r>
        <w:rPr>
          <w:rFonts w:hint="eastAsia" w:ascii="仿宋_GB2312" w:hAnsi="宋体"/>
          <w:sz w:val="32"/>
          <w:szCs w:val="32"/>
          <w:lang w:val="en-US" w:eastAsia="zh-CN"/>
        </w:rPr>
        <w:t>7</w:t>
      </w:r>
      <w:r>
        <w:rPr>
          <w:rFonts w:hint="eastAsia" w:ascii="仿宋_GB2312" w:hAnsi="宋体"/>
          <w:sz w:val="32"/>
          <w:szCs w:val="32"/>
        </w:rPr>
        <w:t>年，我局计划实施审计项目</w:t>
      </w:r>
      <w:r>
        <w:rPr>
          <w:rFonts w:hint="eastAsia" w:ascii="仿宋_GB2312" w:hAnsi="宋体"/>
          <w:sz w:val="32"/>
          <w:szCs w:val="32"/>
          <w:lang w:val="en-US" w:eastAsia="zh-CN"/>
        </w:rPr>
        <w:t>26</w:t>
      </w:r>
      <w:r>
        <w:rPr>
          <w:rFonts w:hint="eastAsia" w:ascii="仿宋_GB2312" w:hAnsi="宋体"/>
          <w:sz w:val="32"/>
          <w:szCs w:val="32"/>
        </w:rPr>
        <w:t>项，全年完成</w:t>
      </w:r>
      <w:r>
        <w:rPr>
          <w:rFonts w:hint="eastAsia" w:ascii="仿宋_GB2312" w:hAnsi="宋体"/>
          <w:sz w:val="32"/>
          <w:szCs w:val="32"/>
          <w:lang w:eastAsia="zh-CN"/>
        </w:rPr>
        <w:t>审计项目</w:t>
      </w:r>
      <w:r>
        <w:rPr>
          <w:rFonts w:hint="eastAsia" w:ascii="仿宋_GB2312" w:hAnsi="宋体"/>
          <w:sz w:val="32"/>
          <w:szCs w:val="32"/>
          <w:lang w:val="en-US" w:eastAsia="zh-CN"/>
        </w:rPr>
        <w:t>27</w:t>
      </w:r>
      <w:r>
        <w:rPr>
          <w:rFonts w:hint="eastAsia" w:ascii="仿宋_GB2312" w:hAnsi="宋体"/>
          <w:sz w:val="32"/>
          <w:szCs w:val="32"/>
        </w:rPr>
        <w:t>项，其中：稳增长促改革调结构惠民生防风险政策措施落实跟踪审计</w:t>
      </w:r>
      <w:r>
        <w:rPr>
          <w:rFonts w:hint="eastAsia" w:ascii="仿宋_GB2312" w:hAnsi="宋体"/>
          <w:sz w:val="32"/>
          <w:szCs w:val="32"/>
          <w:lang w:val="en-US" w:eastAsia="zh-CN"/>
        </w:rPr>
        <w:t>3项，</w:t>
      </w:r>
      <w:r>
        <w:rPr>
          <w:rFonts w:hint="eastAsia" w:ascii="仿宋_GB2312" w:hAnsi="宋体"/>
          <w:sz w:val="32"/>
          <w:szCs w:val="32"/>
        </w:rPr>
        <w:t>财政管理审计</w:t>
      </w:r>
      <w:r>
        <w:rPr>
          <w:rFonts w:hint="eastAsia" w:ascii="仿宋_GB2312" w:hAnsi="宋体"/>
          <w:sz w:val="32"/>
          <w:szCs w:val="32"/>
          <w:lang w:val="en-US" w:eastAsia="zh-CN"/>
        </w:rPr>
        <w:t>3</w:t>
      </w:r>
      <w:r>
        <w:rPr>
          <w:rFonts w:hint="eastAsia" w:ascii="仿宋_GB2312" w:hAnsi="宋体"/>
          <w:sz w:val="32"/>
          <w:szCs w:val="32"/>
        </w:rPr>
        <w:t>项</w:t>
      </w:r>
      <w:r>
        <w:rPr>
          <w:rFonts w:hint="eastAsia" w:ascii="仿宋_GB2312" w:hAnsi="宋体"/>
          <w:sz w:val="32"/>
          <w:szCs w:val="32"/>
          <w:lang w:eastAsia="zh-CN"/>
        </w:rPr>
        <w:t>，</w:t>
      </w:r>
      <w:r>
        <w:rPr>
          <w:rFonts w:hint="eastAsia" w:ascii="仿宋_GB2312" w:hAnsi="宋体"/>
          <w:sz w:val="32"/>
          <w:szCs w:val="32"/>
        </w:rPr>
        <w:t>经济责任审计5项</w:t>
      </w:r>
      <w:r>
        <w:rPr>
          <w:rFonts w:hint="eastAsia" w:ascii="仿宋_GB2312" w:hAnsi="宋体"/>
          <w:sz w:val="32"/>
          <w:szCs w:val="32"/>
          <w:lang w:eastAsia="zh-CN"/>
        </w:rPr>
        <w:t>，</w:t>
      </w:r>
      <w:r>
        <w:rPr>
          <w:rFonts w:hint="eastAsia" w:ascii="仿宋_GB2312" w:hAnsi="宋体"/>
          <w:sz w:val="32"/>
          <w:szCs w:val="32"/>
        </w:rPr>
        <w:t>专项资金审计及其他财务收支审计</w:t>
      </w:r>
      <w:r>
        <w:rPr>
          <w:rFonts w:hint="eastAsia" w:ascii="仿宋_GB2312" w:hAnsi="宋体"/>
          <w:sz w:val="32"/>
          <w:szCs w:val="32"/>
          <w:lang w:val="en-US" w:eastAsia="zh-CN"/>
        </w:rPr>
        <w:t>4项，</w:t>
      </w:r>
      <w:r>
        <w:rPr>
          <w:rFonts w:hint="eastAsia" w:ascii="仿宋_GB2312" w:hAnsi="宋体"/>
          <w:sz w:val="32"/>
          <w:szCs w:val="32"/>
        </w:rPr>
        <w:t>固定资产投资审计9项</w:t>
      </w:r>
      <w:r>
        <w:rPr>
          <w:rFonts w:hint="eastAsia" w:ascii="仿宋_GB2312" w:hAnsi="宋体"/>
          <w:sz w:val="32"/>
          <w:szCs w:val="32"/>
          <w:lang w:eastAsia="zh-CN"/>
        </w:rPr>
        <w:t>，环境资源审计</w:t>
      </w:r>
      <w:r>
        <w:rPr>
          <w:rFonts w:hint="eastAsia" w:ascii="仿宋_GB2312" w:hAnsi="宋体"/>
          <w:sz w:val="32"/>
          <w:szCs w:val="32"/>
          <w:lang w:val="en-US" w:eastAsia="zh-CN"/>
        </w:rPr>
        <w:t>1项，数字化审计2项</w:t>
      </w:r>
      <w:r>
        <w:rPr>
          <w:rFonts w:hint="eastAsia" w:ascii="仿宋_GB2312" w:hAnsi="宋体"/>
          <w:sz w:val="32"/>
          <w:szCs w:val="32"/>
        </w:rPr>
        <w:t>。提交审计报告和专项审计调查报告共27篇，提出审计建议42条，被采纳审计建议42条。审计查出主要问题金额312 028万元，其中:违规金额304 757万元，管理不规范金额7 271万元。审计查出非金额问题12项。审计决定处理金额2 250万元，其中：应上交财政2 137万元；应归还原资金渠道113万元。固定资产投资审计核减6 385万元。审计移送处理事项12件，人员1人。其中：移送新平县纪委处理事项8件人员1人，涉及金额477.50万元；有关部门处理事项4件。</w:t>
      </w:r>
      <w:r>
        <w:rPr>
          <w:rFonts w:hint="eastAsia" w:ascii="仿宋_GB2312"/>
          <w:sz w:val="32"/>
          <w:szCs w:val="32"/>
        </w:rPr>
        <w:t>通过审计，规范了财经秩序，降低了工程建设成本，减少了国家财政拨款，提高了投资效益，促进了我县经济社会平稳较快发展。</w:t>
      </w:r>
    </w:p>
    <w:p>
      <w:pPr>
        <w:snapToGrid w:val="0"/>
        <w:spacing w:line="360" w:lineRule="auto"/>
        <w:ind w:firstLine="640" w:firstLineChars="200"/>
        <w:jc w:val="left"/>
        <w:outlineLvl w:val="0"/>
        <w:rPr>
          <w:rFonts w:asciiTheme="minorEastAsia" w:hAnsiTheme="minorEastAsia" w:eastAsiaTheme="minorEastAsia"/>
          <w:b/>
          <w:color w:val="000000"/>
          <w:sz w:val="32"/>
          <w:szCs w:val="32"/>
        </w:rPr>
      </w:pPr>
      <w:r>
        <w:rPr>
          <w:rFonts w:hint="eastAsia" w:asciiTheme="minorEastAsia" w:hAnsiTheme="minorEastAsia" w:eastAsiaTheme="minorEastAsia"/>
          <w:b/>
          <w:sz w:val="32"/>
          <w:szCs w:val="32"/>
        </w:rPr>
        <w:t xml:space="preserve">                               </w:t>
      </w:r>
      <w:r>
        <w:rPr>
          <w:rFonts w:hint="eastAsia" w:asciiTheme="minorEastAsia" w:hAnsiTheme="minorEastAsia" w:eastAsiaTheme="minorEastAsia"/>
          <w:b/>
          <w:sz w:val="32"/>
          <w:szCs w:val="32"/>
          <w:lang w:val="en-US" w:eastAsia="zh-CN"/>
        </w:rPr>
        <w:t xml:space="preserve">  </w:t>
      </w:r>
      <w:r>
        <w:rPr>
          <w:rFonts w:hint="eastAsia" w:asciiTheme="minorEastAsia" w:hAnsiTheme="minorEastAsia" w:eastAsiaTheme="minorEastAsia"/>
          <w:b/>
          <w:sz w:val="32"/>
          <w:szCs w:val="32"/>
        </w:rPr>
        <w:t xml:space="preserve">                   </w:t>
      </w:r>
      <w:r>
        <w:rPr>
          <w:rFonts w:hint="eastAsia" w:asciiTheme="minorEastAsia" w:hAnsiTheme="minorEastAsia" w:eastAsiaTheme="minorEastAsia"/>
          <w:b/>
          <w:color w:val="000000"/>
          <w:sz w:val="32"/>
          <w:szCs w:val="32"/>
        </w:rPr>
        <w:t>二.部门预算收支执行情况</w:t>
      </w:r>
    </w:p>
    <w:p>
      <w:pPr>
        <w:spacing w:line="360" w:lineRule="auto"/>
        <w:ind w:firstLine="321" w:firstLineChars="100"/>
        <w:jc w:val="left"/>
        <w:rPr>
          <w:rFonts w:asciiTheme="minorEastAsia" w:hAnsiTheme="minorEastAsia" w:eastAsiaTheme="minorEastAsia"/>
          <w:b/>
          <w:color w:val="000000"/>
          <w:sz w:val="32"/>
          <w:szCs w:val="32"/>
        </w:rPr>
      </w:pPr>
      <w:bookmarkStart w:id="1" w:name="_GoBack"/>
      <w:r>
        <w:rPr>
          <w:rFonts w:hint="eastAsia" w:asciiTheme="minorEastAsia" w:hAnsiTheme="minorEastAsia" w:eastAsiaTheme="minorEastAsia"/>
          <w:b/>
          <w:color w:val="000000"/>
          <w:sz w:val="32"/>
          <w:szCs w:val="32"/>
        </w:rPr>
        <w:t>（一）收入支出预算安排情况</w:t>
      </w:r>
    </w:p>
    <w:p>
      <w:pPr>
        <w:spacing w:line="360" w:lineRule="auto"/>
        <w:ind w:firstLine="640" w:firstLineChars="200"/>
        <w:jc w:val="left"/>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201</w:t>
      </w:r>
      <w:r>
        <w:rPr>
          <w:rFonts w:hint="eastAsia" w:asciiTheme="minorEastAsia" w:hAnsiTheme="minorEastAsia" w:eastAsiaTheme="minorEastAsia"/>
          <w:color w:val="000000"/>
          <w:sz w:val="32"/>
          <w:szCs w:val="32"/>
          <w:lang w:val="en-US" w:eastAsia="zh-CN"/>
        </w:rPr>
        <w:t>7</w:t>
      </w:r>
      <w:r>
        <w:rPr>
          <w:rFonts w:hint="eastAsia" w:asciiTheme="minorEastAsia" w:hAnsiTheme="minorEastAsia" w:eastAsiaTheme="minorEastAsia"/>
          <w:color w:val="000000"/>
          <w:sz w:val="32"/>
          <w:szCs w:val="32"/>
        </w:rPr>
        <w:t>年年初预算财政拨款收入</w:t>
      </w:r>
      <w:r>
        <w:rPr>
          <w:rFonts w:hint="eastAsia" w:asciiTheme="minorEastAsia" w:hAnsiTheme="minorEastAsia" w:eastAsiaTheme="minorEastAsia"/>
          <w:color w:val="000000"/>
          <w:sz w:val="32"/>
          <w:szCs w:val="32"/>
          <w:lang w:val="en-US" w:eastAsia="zh-CN"/>
        </w:rPr>
        <w:t>435.37</w:t>
      </w:r>
      <w:r>
        <w:rPr>
          <w:rFonts w:hint="eastAsia" w:asciiTheme="minorEastAsia" w:hAnsiTheme="minorEastAsia" w:eastAsiaTheme="minorEastAsia"/>
          <w:color w:val="000000"/>
          <w:sz w:val="32"/>
          <w:szCs w:val="32"/>
        </w:rPr>
        <w:t>万元；年初预算人员经费支出</w:t>
      </w:r>
      <w:r>
        <w:rPr>
          <w:rFonts w:hint="eastAsia" w:asciiTheme="minorEastAsia" w:hAnsiTheme="minorEastAsia" w:eastAsiaTheme="minorEastAsia"/>
          <w:color w:val="000000"/>
          <w:sz w:val="32"/>
          <w:szCs w:val="32"/>
          <w:lang w:val="en-US" w:eastAsia="zh-CN"/>
        </w:rPr>
        <w:t>293.8</w:t>
      </w:r>
      <w:r>
        <w:rPr>
          <w:rFonts w:hint="eastAsia" w:asciiTheme="minorEastAsia" w:hAnsiTheme="minorEastAsia" w:eastAsiaTheme="minorEastAsia"/>
          <w:color w:val="000000"/>
          <w:sz w:val="32"/>
          <w:szCs w:val="32"/>
        </w:rPr>
        <w:t>万元，日常公用经费支出</w:t>
      </w:r>
      <w:r>
        <w:rPr>
          <w:rFonts w:hint="eastAsia" w:asciiTheme="minorEastAsia" w:hAnsiTheme="minorEastAsia" w:eastAsiaTheme="minorEastAsia"/>
          <w:color w:val="000000"/>
          <w:sz w:val="32"/>
          <w:szCs w:val="32"/>
          <w:lang w:val="en-US" w:eastAsia="zh-CN"/>
        </w:rPr>
        <w:t>39.67</w:t>
      </w:r>
      <w:r>
        <w:rPr>
          <w:rFonts w:hint="eastAsia" w:asciiTheme="minorEastAsia" w:hAnsiTheme="minorEastAsia" w:eastAsiaTheme="minorEastAsia"/>
          <w:color w:val="000000"/>
          <w:sz w:val="32"/>
          <w:szCs w:val="32"/>
        </w:rPr>
        <w:t>万元,项目支出预算</w:t>
      </w:r>
      <w:r>
        <w:rPr>
          <w:rFonts w:hint="eastAsia" w:asciiTheme="minorEastAsia" w:hAnsiTheme="minorEastAsia" w:eastAsiaTheme="minorEastAsia"/>
          <w:color w:val="000000"/>
          <w:sz w:val="32"/>
          <w:szCs w:val="32"/>
          <w:lang w:val="en-US" w:eastAsia="zh-CN"/>
        </w:rPr>
        <w:t>101.9</w:t>
      </w:r>
      <w:r>
        <w:rPr>
          <w:rFonts w:hint="eastAsia" w:asciiTheme="minorEastAsia" w:hAnsiTheme="minorEastAsia" w:eastAsiaTheme="minorEastAsia"/>
          <w:color w:val="000000"/>
          <w:sz w:val="32"/>
          <w:szCs w:val="32"/>
        </w:rPr>
        <w:t>万元。</w:t>
      </w:r>
    </w:p>
    <w:p>
      <w:pPr>
        <w:spacing w:line="360" w:lineRule="auto"/>
        <w:ind w:firstLine="640" w:firstLineChars="200"/>
        <w:jc w:val="left"/>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201</w:t>
      </w:r>
      <w:r>
        <w:rPr>
          <w:rFonts w:hint="eastAsia" w:asciiTheme="minorEastAsia" w:hAnsiTheme="minorEastAsia" w:eastAsiaTheme="minorEastAsia"/>
          <w:color w:val="000000"/>
          <w:sz w:val="32"/>
          <w:szCs w:val="32"/>
          <w:lang w:val="en-US" w:eastAsia="zh-CN"/>
        </w:rPr>
        <w:t>7</w:t>
      </w:r>
      <w:r>
        <w:rPr>
          <w:rFonts w:hint="eastAsia" w:asciiTheme="minorEastAsia" w:hAnsiTheme="minorEastAsia" w:eastAsiaTheme="minorEastAsia"/>
          <w:color w:val="000000"/>
          <w:sz w:val="32"/>
          <w:szCs w:val="32"/>
        </w:rPr>
        <w:t>年财政拨款收入调整预算数</w:t>
      </w:r>
      <w:r>
        <w:rPr>
          <w:rFonts w:hint="eastAsia" w:asciiTheme="minorEastAsia" w:hAnsiTheme="minorEastAsia" w:eastAsiaTheme="minorEastAsia"/>
          <w:color w:val="000000"/>
          <w:sz w:val="32"/>
          <w:szCs w:val="32"/>
          <w:lang w:val="en-US" w:eastAsia="zh-CN"/>
        </w:rPr>
        <w:t>438.61</w:t>
      </w:r>
      <w:r>
        <w:rPr>
          <w:rFonts w:hint="eastAsia" w:asciiTheme="minorEastAsia" w:hAnsiTheme="minorEastAsia" w:eastAsiaTheme="minorEastAsia"/>
          <w:color w:val="000000"/>
          <w:sz w:val="32"/>
          <w:szCs w:val="32"/>
        </w:rPr>
        <w:t>万元，项目经费调整预算支出数</w:t>
      </w:r>
      <w:r>
        <w:rPr>
          <w:rFonts w:hint="eastAsia" w:asciiTheme="minorEastAsia" w:hAnsiTheme="minorEastAsia" w:eastAsiaTheme="minorEastAsia"/>
          <w:color w:val="auto"/>
          <w:sz w:val="32"/>
          <w:szCs w:val="32"/>
          <w:lang w:val="en-US" w:eastAsia="zh-CN"/>
        </w:rPr>
        <w:t>101.9</w:t>
      </w:r>
      <w:r>
        <w:rPr>
          <w:rFonts w:hint="eastAsia" w:asciiTheme="minorEastAsia" w:hAnsiTheme="minorEastAsia" w:eastAsiaTheme="minorEastAsia"/>
          <w:color w:val="000000"/>
          <w:sz w:val="32"/>
          <w:szCs w:val="32"/>
        </w:rPr>
        <w:t>万元，人员经费支出调整预算数</w:t>
      </w:r>
      <w:r>
        <w:rPr>
          <w:rFonts w:hint="eastAsia" w:asciiTheme="minorEastAsia" w:hAnsiTheme="minorEastAsia" w:eastAsiaTheme="minorEastAsia"/>
          <w:color w:val="auto"/>
          <w:sz w:val="32"/>
          <w:szCs w:val="32"/>
          <w:lang w:val="en-US" w:eastAsia="zh-CN"/>
        </w:rPr>
        <w:t>293.8</w:t>
      </w:r>
      <w:r>
        <w:rPr>
          <w:rFonts w:hint="eastAsia" w:asciiTheme="minorEastAsia" w:hAnsiTheme="minorEastAsia" w:eastAsiaTheme="minorEastAsia"/>
          <w:color w:val="auto"/>
          <w:sz w:val="32"/>
          <w:szCs w:val="32"/>
        </w:rPr>
        <w:t>万元，日常公用经费支出调整预算数</w:t>
      </w:r>
      <w:r>
        <w:rPr>
          <w:rFonts w:hint="eastAsia" w:asciiTheme="minorEastAsia" w:hAnsiTheme="minorEastAsia" w:eastAsiaTheme="minorEastAsia"/>
          <w:color w:val="auto"/>
          <w:sz w:val="32"/>
          <w:szCs w:val="32"/>
          <w:lang w:val="en-US" w:eastAsia="zh-CN"/>
        </w:rPr>
        <w:t>42.91</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000000"/>
          <w:sz w:val="32"/>
          <w:szCs w:val="32"/>
          <w:lang w:eastAsia="zh-CN"/>
        </w:rPr>
        <w:t>含市级拨付其他收入审计业务费</w:t>
      </w:r>
      <w:r>
        <w:rPr>
          <w:rFonts w:hint="eastAsia" w:asciiTheme="minorEastAsia" w:hAnsiTheme="minorEastAsia" w:eastAsiaTheme="minorEastAsia"/>
          <w:color w:val="000000"/>
          <w:sz w:val="32"/>
          <w:szCs w:val="32"/>
          <w:lang w:val="en-US" w:eastAsia="zh-CN"/>
        </w:rPr>
        <w:t>3.24万元</w:t>
      </w:r>
      <w:r>
        <w:rPr>
          <w:rFonts w:hint="eastAsia" w:asciiTheme="minorEastAsia" w:hAnsiTheme="minorEastAsia" w:eastAsiaTheme="minorEastAsia"/>
          <w:color w:val="000000"/>
          <w:sz w:val="32"/>
          <w:szCs w:val="32"/>
        </w:rPr>
        <w:t>。调整预算数的增加主要是因为人员工资福利的刚性增加，项目经费的追加，</w:t>
      </w:r>
      <w:r>
        <w:rPr>
          <w:rFonts w:hint="eastAsia" w:asciiTheme="minorEastAsia" w:hAnsiTheme="minorEastAsia" w:eastAsiaTheme="minorEastAsia"/>
          <w:color w:val="000000"/>
          <w:sz w:val="32"/>
          <w:szCs w:val="32"/>
          <w:lang w:eastAsia="zh-CN"/>
        </w:rPr>
        <w:t>其他审计事务的支出</w:t>
      </w:r>
      <w:r>
        <w:rPr>
          <w:rFonts w:hint="eastAsia" w:asciiTheme="minorEastAsia" w:hAnsiTheme="minorEastAsia" w:eastAsiaTheme="minorEastAsia"/>
          <w:color w:val="000000"/>
          <w:sz w:val="32"/>
          <w:szCs w:val="32"/>
          <w:lang w:val="en-US" w:eastAsia="zh-CN"/>
        </w:rPr>
        <w:t>40.9万 元</w:t>
      </w:r>
      <w:r>
        <w:rPr>
          <w:rFonts w:hint="eastAsia" w:asciiTheme="minorEastAsia" w:hAnsiTheme="minorEastAsia" w:eastAsiaTheme="minorEastAsia"/>
          <w:color w:val="000000"/>
          <w:sz w:val="32"/>
          <w:szCs w:val="32"/>
        </w:rPr>
        <w:t>。</w:t>
      </w:r>
    </w:p>
    <w:p>
      <w:pPr>
        <w:numPr>
          <w:ilvl w:val="0"/>
          <w:numId w:val="2"/>
        </w:numPr>
        <w:spacing w:line="360" w:lineRule="auto"/>
        <w:jc w:val="left"/>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收入支出预算执行情况</w:t>
      </w:r>
    </w:p>
    <w:p>
      <w:pPr>
        <w:spacing w:line="360" w:lineRule="auto"/>
        <w:ind w:firstLine="640" w:firstLineChars="200"/>
        <w:jc w:val="left"/>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lang w:eastAsia="zh-CN"/>
        </w:rPr>
        <w:t>新平县审计局</w:t>
      </w:r>
      <w:r>
        <w:rPr>
          <w:rFonts w:hint="eastAsia" w:asciiTheme="minorEastAsia" w:hAnsiTheme="minorEastAsia" w:eastAsiaTheme="minorEastAsia"/>
          <w:color w:val="000000"/>
          <w:sz w:val="32"/>
          <w:szCs w:val="32"/>
        </w:rPr>
        <w:t>201</w:t>
      </w:r>
      <w:r>
        <w:rPr>
          <w:rFonts w:hint="eastAsia" w:asciiTheme="minorEastAsia" w:hAnsiTheme="minorEastAsia" w:eastAsiaTheme="minorEastAsia"/>
          <w:color w:val="000000"/>
          <w:sz w:val="32"/>
          <w:szCs w:val="32"/>
          <w:lang w:val="en-US" w:eastAsia="zh-CN"/>
        </w:rPr>
        <w:t>7</w:t>
      </w:r>
      <w:r>
        <w:rPr>
          <w:rFonts w:hint="eastAsia" w:asciiTheme="minorEastAsia" w:hAnsiTheme="minorEastAsia" w:eastAsiaTheme="minorEastAsia"/>
          <w:color w:val="000000"/>
          <w:sz w:val="32"/>
          <w:szCs w:val="32"/>
        </w:rPr>
        <w:t>年收支严格按年初预算执行，在保人员工资保机构正常运转以及保稳定的基础上，加强财源建设。201</w:t>
      </w:r>
      <w:r>
        <w:rPr>
          <w:rFonts w:hint="eastAsia" w:asciiTheme="minorEastAsia" w:hAnsiTheme="minorEastAsia" w:eastAsiaTheme="minorEastAsia"/>
          <w:color w:val="000000"/>
          <w:sz w:val="32"/>
          <w:szCs w:val="32"/>
          <w:lang w:val="en-US" w:eastAsia="zh-CN"/>
        </w:rPr>
        <w:t>7</w:t>
      </w:r>
      <w:r>
        <w:rPr>
          <w:rFonts w:hint="eastAsia" w:asciiTheme="minorEastAsia" w:hAnsiTheme="minorEastAsia" w:eastAsiaTheme="minorEastAsia"/>
          <w:color w:val="000000"/>
          <w:sz w:val="32"/>
          <w:szCs w:val="32"/>
        </w:rPr>
        <w:t>年我</w:t>
      </w:r>
      <w:r>
        <w:rPr>
          <w:rFonts w:hint="eastAsia" w:asciiTheme="minorEastAsia" w:hAnsiTheme="minorEastAsia" w:eastAsiaTheme="minorEastAsia"/>
          <w:color w:val="000000"/>
          <w:sz w:val="32"/>
          <w:szCs w:val="32"/>
          <w:lang w:eastAsia="zh-CN"/>
        </w:rPr>
        <w:t>局</w:t>
      </w:r>
      <w:r>
        <w:rPr>
          <w:rFonts w:hint="eastAsia" w:asciiTheme="minorEastAsia" w:hAnsiTheme="minorEastAsia" w:eastAsiaTheme="minorEastAsia"/>
          <w:color w:val="000000"/>
          <w:sz w:val="32"/>
          <w:szCs w:val="32"/>
        </w:rPr>
        <w:t>的财政收支平稳，预算执行情况良好，具体收支情况分析如下：</w:t>
      </w:r>
    </w:p>
    <w:p>
      <w:pPr>
        <w:spacing w:line="360" w:lineRule="auto"/>
        <w:ind w:firstLine="768" w:firstLineChars="240"/>
        <w:jc w:val="left"/>
        <w:rPr>
          <w:rFonts w:asciiTheme="minorEastAsia" w:hAnsiTheme="minorEastAsia" w:eastAsiaTheme="minorEastAsia"/>
          <w:sz w:val="32"/>
          <w:szCs w:val="32"/>
        </w:rPr>
      </w:pPr>
      <w:r>
        <w:rPr>
          <w:rFonts w:hint="eastAsia" w:asciiTheme="minorEastAsia" w:hAnsiTheme="minorEastAsia" w:eastAsiaTheme="minorEastAsia"/>
          <w:sz w:val="32"/>
          <w:szCs w:val="32"/>
        </w:rPr>
        <w:t>1.收入支出结构分析</w:t>
      </w:r>
    </w:p>
    <w:p>
      <w:pPr>
        <w:spacing w:line="360" w:lineRule="auto"/>
        <w:ind w:firstLine="768" w:firstLineChars="240"/>
        <w:jc w:val="left"/>
        <w:rPr>
          <w:rFonts w:asciiTheme="minorEastAsia" w:hAnsiTheme="minorEastAsia" w:eastAsiaTheme="minorEastAsia"/>
          <w:sz w:val="32"/>
          <w:szCs w:val="32"/>
        </w:rPr>
      </w:pPr>
      <w:r>
        <w:rPr>
          <w:rFonts w:hint="eastAsia" w:asciiTheme="minorEastAsia" w:hAnsiTheme="minorEastAsia" w:eastAsiaTheme="minorEastAsia"/>
          <w:sz w:val="32"/>
          <w:szCs w:val="32"/>
        </w:rPr>
        <w:t>（1）各项收入占总收入比重</w:t>
      </w:r>
    </w:p>
    <w:p>
      <w:pPr>
        <w:spacing w:line="360" w:lineRule="auto"/>
        <w:ind w:firstLine="768" w:firstLineChars="240"/>
        <w:jc w:val="left"/>
        <w:rPr>
          <w:rFonts w:asciiTheme="minorEastAsia" w:hAnsiTheme="minorEastAsia" w:eastAsiaTheme="minorEastAsia"/>
          <w:b/>
          <w:szCs w:val="21"/>
        </w:rPr>
      </w:pPr>
      <w:r>
        <w:rPr>
          <w:rFonts w:hint="eastAsia" w:asciiTheme="minorEastAsia" w:hAnsiTheme="minorEastAsia" w:eastAsiaTheme="minorEastAsia"/>
          <w:sz w:val="32"/>
          <w:szCs w:val="32"/>
        </w:rPr>
        <w:t>201</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eastAsia="zh-CN"/>
        </w:rPr>
        <w:t>新平县审计局</w:t>
      </w:r>
      <w:r>
        <w:rPr>
          <w:rFonts w:hint="eastAsia" w:asciiTheme="minorEastAsia" w:hAnsiTheme="minorEastAsia" w:eastAsiaTheme="minorEastAsia"/>
          <w:sz w:val="32"/>
          <w:szCs w:val="32"/>
        </w:rPr>
        <w:t>部门决算含</w:t>
      </w:r>
      <w:r>
        <w:rPr>
          <w:rFonts w:hint="eastAsia" w:asciiTheme="minorEastAsia" w:hAnsiTheme="minorEastAsia" w:eastAsiaTheme="minorEastAsia"/>
          <w:sz w:val="32"/>
          <w:szCs w:val="32"/>
          <w:lang w:eastAsia="zh-CN"/>
        </w:rPr>
        <w:t>全局</w:t>
      </w:r>
      <w:r>
        <w:rPr>
          <w:rFonts w:hint="eastAsia" w:asciiTheme="minorEastAsia" w:hAnsiTheme="minorEastAsia" w:eastAsiaTheme="minorEastAsia"/>
          <w:sz w:val="32"/>
          <w:szCs w:val="32"/>
        </w:rPr>
        <w:t>行政事业单位</w:t>
      </w:r>
      <w:r>
        <w:rPr>
          <w:rFonts w:hint="eastAsia" w:asciiTheme="minorEastAsia" w:hAnsiTheme="minorEastAsia" w:eastAsiaTheme="minorEastAsia"/>
          <w:sz w:val="32"/>
          <w:szCs w:val="32"/>
          <w:lang w:eastAsia="zh-CN"/>
        </w:rPr>
        <w:t>机构</w:t>
      </w:r>
      <w:r>
        <w:rPr>
          <w:rFonts w:hint="eastAsia" w:asciiTheme="minorEastAsia" w:hAnsiTheme="minorEastAsia" w:eastAsiaTheme="minorEastAsia"/>
          <w:sz w:val="32"/>
          <w:szCs w:val="32"/>
        </w:rPr>
        <w:t>，列报收入</w:t>
      </w:r>
      <w:r>
        <w:rPr>
          <w:rFonts w:hint="eastAsia" w:asciiTheme="minorEastAsia" w:hAnsiTheme="minorEastAsia" w:eastAsiaTheme="minorEastAsia"/>
          <w:sz w:val="32"/>
          <w:szCs w:val="32"/>
          <w:lang w:val="en-US" w:eastAsia="zh-CN"/>
        </w:rPr>
        <w:t>439.91</w:t>
      </w:r>
      <w:r>
        <w:rPr>
          <w:rFonts w:hint="eastAsia" w:asciiTheme="minorEastAsia" w:hAnsiTheme="minorEastAsia" w:eastAsiaTheme="minorEastAsia"/>
          <w:sz w:val="32"/>
          <w:szCs w:val="32"/>
        </w:rPr>
        <w:t>万元，其中：公共预算财政拨款收入</w:t>
      </w:r>
      <w:r>
        <w:rPr>
          <w:rFonts w:hint="eastAsia" w:asciiTheme="minorEastAsia" w:hAnsiTheme="minorEastAsia" w:eastAsiaTheme="minorEastAsia"/>
          <w:sz w:val="32"/>
          <w:szCs w:val="32"/>
          <w:lang w:val="en-US" w:eastAsia="zh-CN"/>
        </w:rPr>
        <w:t>435.37</w:t>
      </w:r>
      <w:r>
        <w:rPr>
          <w:rFonts w:hint="eastAsia" w:asciiTheme="minorEastAsia" w:hAnsiTheme="minorEastAsia" w:eastAsiaTheme="minorEastAsia"/>
          <w:sz w:val="32"/>
          <w:szCs w:val="32"/>
        </w:rPr>
        <w:t>万元，占总收入的</w:t>
      </w:r>
      <w:r>
        <w:rPr>
          <w:rFonts w:hint="eastAsia" w:asciiTheme="minorEastAsia" w:hAnsiTheme="minorEastAsia" w:eastAsiaTheme="minorEastAsia"/>
          <w:sz w:val="32"/>
          <w:szCs w:val="32"/>
          <w:lang w:val="en-US" w:eastAsia="zh-CN"/>
        </w:rPr>
        <w:t>98.97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其他</w:t>
      </w:r>
      <w:r>
        <w:rPr>
          <w:rFonts w:hint="eastAsia" w:asciiTheme="minorEastAsia" w:hAnsiTheme="minorEastAsia" w:eastAsiaTheme="minorEastAsia"/>
          <w:sz w:val="32"/>
          <w:szCs w:val="32"/>
        </w:rPr>
        <w:t>收入</w:t>
      </w:r>
      <w:r>
        <w:rPr>
          <w:rFonts w:hint="eastAsia" w:asciiTheme="minorEastAsia" w:hAnsiTheme="minorEastAsia" w:eastAsiaTheme="minorEastAsia"/>
          <w:sz w:val="32"/>
          <w:szCs w:val="32"/>
          <w:lang w:val="en-US" w:eastAsia="zh-CN"/>
        </w:rPr>
        <w:t>4.54</w:t>
      </w:r>
      <w:r>
        <w:rPr>
          <w:rFonts w:hint="eastAsia" w:asciiTheme="minorEastAsia" w:hAnsiTheme="minorEastAsia" w:eastAsiaTheme="minorEastAsia"/>
          <w:sz w:val="32"/>
          <w:szCs w:val="32"/>
        </w:rPr>
        <w:t>万元，占总收入的</w:t>
      </w:r>
      <w:r>
        <w:rPr>
          <w:rFonts w:hint="eastAsia" w:asciiTheme="minorEastAsia" w:hAnsiTheme="minorEastAsia" w:eastAsiaTheme="minorEastAsia"/>
          <w:sz w:val="32"/>
          <w:szCs w:val="32"/>
          <w:lang w:val="en-US" w:eastAsia="zh-CN"/>
        </w:rPr>
        <w:t>1.03</w:t>
      </w:r>
      <w:r>
        <w:rPr>
          <w:rFonts w:hint="eastAsia" w:asciiTheme="minorEastAsia" w:hAnsiTheme="minorEastAsia" w:eastAsiaTheme="minorEastAsia"/>
          <w:sz w:val="32"/>
          <w:szCs w:val="32"/>
        </w:rPr>
        <w:t xml:space="preserve">%。如下图所示： </w:t>
      </w:r>
      <w:bookmarkEnd w:id="1"/>
      <w:r>
        <w:drawing>
          <wp:inline distT="0" distB="0" distL="114300" distR="114300">
            <wp:extent cx="5647055" cy="2837815"/>
            <wp:effectExtent l="4445" t="4445" r="6350" b="15240"/>
            <wp:docPr id="115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360" w:lineRule="auto"/>
        <w:ind w:left="2214" w:hanging="2214" w:hangingChars="1050"/>
        <w:jc w:val="center"/>
        <w:rPr>
          <w:rFonts w:asciiTheme="minorEastAsia" w:hAnsiTheme="minorEastAsia" w:eastAsiaTheme="minorEastAsia"/>
          <w:b/>
          <w:szCs w:val="21"/>
        </w:rPr>
      </w:pPr>
      <w:r>
        <w:rPr>
          <w:rFonts w:hint="eastAsia" w:asciiTheme="minorEastAsia" w:hAnsiTheme="minorEastAsia" w:eastAsiaTheme="minorEastAsia"/>
          <w:b/>
          <w:szCs w:val="21"/>
        </w:rPr>
        <w:t xml:space="preserve">图表1 </w:t>
      </w: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201</w:t>
      </w:r>
      <w:r>
        <w:rPr>
          <w:rFonts w:hint="eastAsia" w:asciiTheme="minorEastAsia" w:hAnsiTheme="minorEastAsia" w:eastAsiaTheme="minorEastAsia"/>
          <w:b/>
          <w:szCs w:val="21"/>
          <w:lang w:val="en-US" w:eastAsia="zh-CN"/>
        </w:rPr>
        <w:t>7</w:t>
      </w:r>
      <w:r>
        <w:rPr>
          <w:rFonts w:hint="eastAsia" w:asciiTheme="minorEastAsia" w:hAnsiTheme="minorEastAsia" w:eastAsiaTheme="minorEastAsia"/>
          <w:b/>
          <w:szCs w:val="21"/>
        </w:rPr>
        <w:t>年收入结构图   单位：万元</w:t>
      </w:r>
    </w:p>
    <w:p>
      <w:pPr>
        <w:spacing w:line="360" w:lineRule="auto"/>
        <w:ind w:left="2214" w:hanging="2214" w:hangingChars="1050"/>
        <w:jc w:val="left"/>
      </w:pPr>
      <w:r>
        <w:drawing>
          <wp:inline distT="0" distB="0" distL="114300" distR="114300">
            <wp:extent cx="5781040" cy="2904490"/>
            <wp:effectExtent l="4445" t="4445" r="5715" b="5715"/>
            <wp:docPr id="105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360" w:lineRule="auto"/>
        <w:ind w:left="2214" w:hanging="2214" w:hangingChars="1050"/>
        <w:jc w:val="left"/>
      </w:pPr>
      <w:r>
        <w:drawing>
          <wp:inline distT="0" distB="0" distL="114300" distR="114300">
            <wp:extent cx="5744845" cy="4172585"/>
            <wp:effectExtent l="4445" t="4445" r="22860" b="13970"/>
            <wp:docPr id="1064"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360" w:lineRule="auto"/>
        <w:ind w:left="2214" w:hanging="2214" w:hangingChars="1050"/>
        <w:jc w:val="center"/>
        <w:rPr>
          <w:rFonts w:asciiTheme="minorEastAsia" w:hAnsiTheme="minorEastAsia" w:eastAsiaTheme="minorEastAsia"/>
          <w:b/>
          <w:szCs w:val="21"/>
        </w:rPr>
      </w:pPr>
      <w:r>
        <w:rPr>
          <w:rFonts w:hint="eastAsia" w:asciiTheme="minorEastAsia" w:hAnsiTheme="minorEastAsia" w:eastAsiaTheme="minorEastAsia"/>
          <w:b/>
          <w:szCs w:val="21"/>
        </w:rPr>
        <w:t>图表2</w:t>
      </w: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201</w:t>
      </w:r>
      <w:r>
        <w:rPr>
          <w:rFonts w:hint="eastAsia" w:asciiTheme="minorEastAsia" w:hAnsiTheme="minorEastAsia" w:eastAsiaTheme="minorEastAsia"/>
          <w:b/>
          <w:szCs w:val="21"/>
          <w:lang w:val="en-US" w:eastAsia="zh-CN"/>
        </w:rPr>
        <w:t>7</w:t>
      </w:r>
      <w:r>
        <w:rPr>
          <w:rFonts w:hint="eastAsia" w:asciiTheme="minorEastAsia" w:hAnsiTheme="minorEastAsia" w:eastAsiaTheme="minorEastAsia"/>
          <w:b/>
          <w:szCs w:val="21"/>
        </w:rPr>
        <w:t>年收入结构图（按功能科目分类） 单位：万元</w:t>
      </w:r>
    </w:p>
    <w:p>
      <w:pPr>
        <w:spacing w:line="360" w:lineRule="auto"/>
        <w:ind w:left="525" w:leftChars="250" w:firstLine="320" w:firstLineChars="1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（2）支出结构分析</w:t>
      </w:r>
    </w:p>
    <w:p>
      <w:pPr>
        <w:spacing w:line="360" w:lineRule="auto"/>
        <w:ind w:left="525" w:leftChars="250" w:firstLine="480" w:firstLineChars="150"/>
        <w:jc w:val="left"/>
        <w:rPr>
          <w:rFonts w:asciiTheme="minorEastAsia" w:hAnsiTheme="minorEastAsia" w:eastAsiaTheme="minorEastAsia"/>
          <w:sz w:val="32"/>
          <w:szCs w:val="32"/>
        </w:rPr>
      </w:pPr>
      <w:r>
        <w:rPr>
          <w:rFonts w:hint="eastAsia" w:asciiTheme="minorEastAsia" w:hAnsiTheme="minorEastAsia" w:eastAsiaTheme="minorEastAsia"/>
          <w:sz w:val="32"/>
          <w:szCs w:val="32"/>
        </w:rPr>
        <w:t>按经济科目分类：201</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eastAsia="zh-CN"/>
        </w:rPr>
        <w:t>新平县审计局</w:t>
      </w:r>
      <w:r>
        <w:rPr>
          <w:rFonts w:hint="eastAsia" w:asciiTheme="minorEastAsia" w:hAnsiTheme="minorEastAsia" w:eastAsiaTheme="minorEastAsia"/>
          <w:sz w:val="32"/>
          <w:szCs w:val="32"/>
        </w:rPr>
        <w:t>部门决算列报支出</w:t>
      </w:r>
      <w:r>
        <w:rPr>
          <w:rFonts w:hint="eastAsia" w:asciiTheme="minorEastAsia" w:hAnsiTheme="minorEastAsia" w:eastAsiaTheme="minorEastAsia"/>
          <w:sz w:val="32"/>
          <w:szCs w:val="32"/>
          <w:lang w:val="en-US" w:eastAsia="zh-CN"/>
        </w:rPr>
        <w:t>438.61</w:t>
      </w:r>
      <w:r>
        <w:rPr>
          <w:rFonts w:hint="eastAsia" w:asciiTheme="minorEastAsia" w:hAnsiTheme="minorEastAsia" w:eastAsiaTheme="minorEastAsia"/>
          <w:sz w:val="32"/>
          <w:szCs w:val="32"/>
        </w:rPr>
        <w:t>万元，按经济科目分类，其中工资福利支出</w:t>
      </w:r>
      <w:r>
        <w:rPr>
          <w:rFonts w:hint="eastAsia" w:asciiTheme="minorEastAsia" w:hAnsiTheme="minorEastAsia" w:eastAsiaTheme="minorEastAsia"/>
          <w:sz w:val="32"/>
          <w:szCs w:val="32"/>
          <w:lang w:val="en-US" w:eastAsia="zh-CN"/>
        </w:rPr>
        <w:t>310.74</w:t>
      </w:r>
      <w:r>
        <w:rPr>
          <w:rFonts w:hint="eastAsia" w:asciiTheme="minorEastAsia" w:hAnsiTheme="minorEastAsia" w:eastAsiaTheme="minorEastAsia"/>
          <w:sz w:val="32"/>
          <w:szCs w:val="32"/>
        </w:rPr>
        <w:t>万元，占总支出的</w:t>
      </w:r>
      <w:r>
        <w:rPr>
          <w:rFonts w:hint="eastAsia" w:asciiTheme="minorEastAsia" w:hAnsiTheme="minorEastAsia" w:eastAsiaTheme="minorEastAsia"/>
          <w:sz w:val="32"/>
          <w:szCs w:val="32"/>
          <w:lang w:val="en-US" w:eastAsia="zh-CN"/>
        </w:rPr>
        <w:t>71</w:t>
      </w:r>
      <w:r>
        <w:rPr>
          <w:rFonts w:hint="eastAsia" w:asciiTheme="minorEastAsia" w:hAnsiTheme="minorEastAsia" w:eastAsiaTheme="minorEastAsia"/>
          <w:sz w:val="32"/>
          <w:szCs w:val="32"/>
        </w:rPr>
        <w:t>%；商品和服务支出</w:t>
      </w:r>
      <w:r>
        <w:rPr>
          <w:rFonts w:hint="eastAsia" w:asciiTheme="minorEastAsia" w:hAnsiTheme="minorEastAsia" w:eastAsiaTheme="minorEastAsia"/>
          <w:sz w:val="32"/>
          <w:szCs w:val="32"/>
          <w:lang w:val="en-US" w:eastAsia="zh-CN"/>
        </w:rPr>
        <w:t>56.86</w:t>
      </w:r>
      <w:r>
        <w:rPr>
          <w:rFonts w:hint="eastAsia" w:asciiTheme="minorEastAsia" w:hAnsiTheme="minorEastAsia" w:eastAsiaTheme="minorEastAsia"/>
          <w:sz w:val="32"/>
          <w:szCs w:val="32"/>
        </w:rPr>
        <w:t>万元，占总支出的</w:t>
      </w: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%；对个人和家庭的补助支出</w:t>
      </w:r>
      <w:r>
        <w:rPr>
          <w:rFonts w:hint="eastAsia" w:asciiTheme="minorEastAsia" w:hAnsiTheme="minorEastAsia" w:eastAsiaTheme="minorEastAsia"/>
          <w:sz w:val="32"/>
          <w:szCs w:val="32"/>
          <w:lang w:val="en-US" w:eastAsia="zh-CN"/>
        </w:rPr>
        <w:t>71.01</w:t>
      </w:r>
      <w:r>
        <w:rPr>
          <w:rFonts w:hint="eastAsia" w:asciiTheme="minorEastAsia" w:hAnsiTheme="minorEastAsia" w:eastAsiaTheme="minorEastAsia"/>
          <w:sz w:val="32"/>
          <w:szCs w:val="32"/>
        </w:rPr>
        <w:t>万元，占总支出的</w:t>
      </w: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w:t>
      </w:r>
    </w:p>
    <w:p>
      <w:pPr>
        <w:spacing w:line="360" w:lineRule="auto"/>
        <w:ind w:left="525" w:leftChars="250" w:firstLine="480" w:firstLineChars="150"/>
        <w:jc w:val="center"/>
        <w:rPr>
          <w:rFonts w:asciiTheme="minorEastAsia" w:hAnsiTheme="minorEastAsia" w:eastAsiaTheme="minorEastAsia"/>
          <w:sz w:val="32"/>
          <w:szCs w:val="32"/>
        </w:rPr>
      </w:pPr>
      <w:r>
        <w:drawing>
          <wp:inline distT="0" distB="0" distL="114300" distR="114300">
            <wp:extent cx="4467860" cy="2743200"/>
            <wp:effectExtent l="4445" t="4445" r="23495" b="14605"/>
            <wp:docPr id="104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360" w:lineRule="auto"/>
        <w:ind w:left="525" w:leftChars="250" w:firstLine="316" w:firstLineChars="150"/>
        <w:jc w:val="center"/>
        <w:rPr>
          <w:rFonts w:hint="eastAsia" w:asciiTheme="minorEastAsia" w:hAnsiTheme="minorEastAsia" w:eastAsiaTheme="minorEastAsia"/>
          <w:b/>
          <w:szCs w:val="21"/>
        </w:rPr>
      </w:pPr>
      <w:r>
        <w:rPr>
          <w:rFonts w:hint="eastAsia" w:asciiTheme="minorEastAsia" w:hAnsiTheme="minorEastAsia" w:eastAsiaTheme="minorEastAsia"/>
          <w:b/>
          <w:szCs w:val="21"/>
        </w:rPr>
        <w:t>图表3</w:t>
      </w: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201</w:t>
      </w:r>
      <w:r>
        <w:rPr>
          <w:rFonts w:hint="eastAsia" w:asciiTheme="minorEastAsia" w:hAnsiTheme="minorEastAsia" w:eastAsiaTheme="minorEastAsia"/>
          <w:b/>
          <w:szCs w:val="21"/>
          <w:lang w:val="en-US" w:eastAsia="zh-CN"/>
        </w:rPr>
        <w:t>7</w:t>
      </w:r>
      <w:r>
        <w:rPr>
          <w:rFonts w:hint="eastAsia" w:asciiTheme="minorEastAsia" w:hAnsiTheme="minorEastAsia" w:eastAsiaTheme="minorEastAsia"/>
          <w:b/>
          <w:szCs w:val="21"/>
        </w:rPr>
        <w:t>年支出结构分析图（按经济科目）  单位：万元</w:t>
      </w:r>
    </w:p>
    <w:p>
      <w:pPr>
        <w:spacing w:line="360" w:lineRule="auto"/>
        <w:ind w:left="525" w:leftChars="250" w:firstLine="800" w:firstLineChars="250"/>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按功能科目分类：其中一般公共服务支出</w:t>
      </w:r>
      <w:r>
        <w:rPr>
          <w:rFonts w:hint="eastAsia" w:asciiTheme="minorEastAsia" w:hAnsiTheme="minorEastAsia" w:eastAsiaTheme="minorEastAsia"/>
          <w:sz w:val="32"/>
          <w:szCs w:val="32"/>
          <w:lang w:val="en-US" w:eastAsia="zh-CN"/>
        </w:rPr>
        <w:t>358.32</w:t>
      </w:r>
      <w:r>
        <w:rPr>
          <w:rFonts w:hint="eastAsia" w:asciiTheme="minorEastAsia" w:hAnsiTheme="minorEastAsia" w:eastAsiaTheme="minorEastAsia"/>
          <w:sz w:val="32"/>
          <w:szCs w:val="32"/>
        </w:rPr>
        <w:t>万元，占总支出的</w:t>
      </w:r>
      <w:r>
        <w:rPr>
          <w:rFonts w:hint="eastAsia" w:asciiTheme="minorEastAsia" w:hAnsiTheme="minorEastAsia" w:eastAsiaTheme="minorEastAsia"/>
          <w:sz w:val="32"/>
          <w:szCs w:val="32"/>
          <w:lang w:val="en-US" w:eastAsia="zh-CN"/>
        </w:rPr>
        <w:t>82</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32.97</w:t>
      </w:r>
      <w:r>
        <w:rPr>
          <w:rFonts w:hint="eastAsia" w:asciiTheme="minorEastAsia" w:hAnsiTheme="minorEastAsia" w:eastAsiaTheme="minorEastAsia"/>
          <w:sz w:val="32"/>
          <w:szCs w:val="32"/>
        </w:rPr>
        <w:t>万元，占总支出的</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%。医疗卫生</w:t>
      </w:r>
      <w:r>
        <w:rPr>
          <w:rFonts w:hint="eastAsia" w:asciiTheme="minorEastAsia" w:hAnsiTheme="minorEastAsia" w:eastAsiaTheme="minorEastAsia"/>
          <w:sz w:val="32"/>
          <w:szCs w:val="32"/>
          <w:lang w:val="en-US" w:eastAsia="zh-CN"/>
        </w:rPr>
        <w:t>25.36</w:t>
      </w:r>
      <w:r>
        <w:rPr>
          <w:rFonts w:hint="eastAsia" w:asciiTheme="minorEastAsia" w:hAnsiTheme="minorEastAsia" w:eastAsiaTheme="minorEastAsia"/>
          <w:sz w:val="32"/>
          <w:szCs w:val="32"/>
        </w:rPr>
        <w:t>万元，占总支出的</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%。住房保障支出</w:t>
      </w:r>
      <w:r>
        <w:rPr>
          <w:rFonts w:hint="eastAsia" w:asciiTheme="minorEastAsia" w:hAnsiTheme="minorEastAsia" w:eastAsiaTheme="minorEastAsia"/>
          <w:sz w:val="32"/>
          <w:szCs w:val="32"/>
          <w:lang w:val="en-US" w:eastAsia="zh-CN"/>
        </w:rPr>
        <w:t>21.96</w:t>
      </w:r>
      <w:r>
        <w:rPr>
          <w:rFonts w:hint="eastAsia" w:asciiTheme="minorEastAsia" w:hAnsiTheme="minorEastAsia" w:eastAsiaTheme="minorEastAsia"/>
          <w:sz w:val="32"/>
          <w:szCs w:val="32"/>
        </w:rPr>
        <w:t>万元，占总支出的</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w:t>
      </w:r>
    </w:p>
    <w:p>
      <w:pPr>
        <w:spacing w:line="360" w:lineRule="auto"/>
        <w:jc w:val="both"/>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w:t>
      </w:r>
      <w:r>
        <w:drawing>
          <wp:inline distT="0" distB="0" distL="114300" distR="114300">
            <wp:extent cx="5078730" cy="2106295"/>
            <wp:effectExtent l="4445" t="4445" r="22225" b="22860"/>
            <wp:docPr id="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spacing w:line="360" w:lineRule="auto"/>
        <w:ind w:firstLine="420" w:firstLineChars="200"/>
        <w:jc w:val="left"/>
        <w:rPr>
          <w:rFonts w:asciiTheme="minorEastAsia" w:hAnsiTheme="minorEastAsia" w:eastAsiaTheme="minorEastAsia"/>
          <w:szCs w:val="21"/>
        </w:rPr>
      </w:pPr>
      <w:r>
        <w:drawing>
          <wp:inline distT="0" distB="0" distL="114300" distR="114300">
            <wp:extent cx="5649595" cy="3048635"/>
            <wp:effectExtent l="4445" t="4445" r="22860" b="13970"/>
            <wp:docPr id="104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spacing w:line="360" w:lineRule="auto"/>
        <w:ind w:left="-182" w:leftChars="-172" w:hanging="179" w:hangingChars="85"/>
        <w:jc w:val="center"/>
        <w:rPr>
          <w:rFonts w:asciiTheme="minorEastAsia" w:hAnsiTheme="minorEastAsia" w:eastAsiaTheme="minorEastAsia"/>
          <w:b/>
          <w:szCs w:val="21"/>
        </w:rPr>
      </w:pPr>
      <w:r>
        <w:rPr>
          <w:rFonts w:hint="eastAsia" w:asciiTheme="minorEastAsia" w:hAnsiTheme="minorEastAsia" w:eastAsiaTheme="minorEastAsia"/>
          <w:b/>
          <w:szCs w:val="21"/>
        </w:rPr>
        <w:t>图表4</w:t>
      </w: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201</w:t>
      </w:r>
      <w:r>
        <w:rPr>
          <w:rFonts w:hint="eastAsia" w:asciiTheme="minorEastAsia" w:hAnsiTheme="minorEastAsia" w:eastAsiaTheme="minorEastAsia"/>
          <w:b/>
          <w:szCs w:val="21"/>
          <w:lang w:val="en-US" w:eastAsia="zh-CN"/>
        </w:rPr>
        <w:t>7</w:t>
      </w:r>
      <w:r>
        <w:rPr>
          <w:rFonts w:hint="eastAsia" w:asciiTheme="minorEastAsia" w:hAnsiTheme="minorEastAsia" w:eastAsiaTheme="minorEastAsia"/>
          <w:b/>
          <w:szCs w:val="21"/>
        </w:rPr>
        <w:t>年支出结构分析图（按功能科目）  单位：万元</w:t>
      </w:r>
    </w:p>
    <w:p>
      <w:pPr>
        <w:snapToGrid w:val="0"/>
        <w:spacing w:line="360" w:lineRule="auto"/>
        <w:ind w:firstLine="480" w:firstLineChars="150"/>
        <w:jc w:val="left"/>
        <w:rPr>
          <w:rFonts w:asciiTheme="minorEastAsia" w:hAnsiTheme="minorEastAsia" w:eastAsiaTheme="minorEastAsia"/>
          <w:sz w:val="32"/>
          <w:szCs w:val="32"/>
        </w:rPr>
      </w:pPr>
      <w:r>
        <w:rPr>
          <w:rFonts w:hint="eastAsia" w:asciiTheme="minorEastAsia" w:hAnsiTheme="minorEastAsia" w:eastAsiaTheme="minorEastAsia"/>
          <w:sz w:val="32"/>
          <w:szCs w:val="32"/>
        </w:rPr>
        <w:t>（3）收入支出按部门所属单位分布情况</w:t>
      </w:r>
    </w:p>
    <w:p>
      <w:pPr>
        <w:ind w:firstLine="640" w:firstLineChars="200"/>
        <w:rPr>
          <w:rFonts w:cs="Arial" w:asciiTheme="minorEastAsia" w:hAnsiTheme="minorEastAsia" w:eastAsiaTheme="minorEastAsia"/>
          <w:color w:val="000000"/>
          <w:kern w:val="0"/>
          <w:sz w:val="32"/>
          <w:szCs w:val="32"/>
        </w:rPr>
      </w:pPr>
      <w:r>
        <w:rPr>
          <w:rFonts w:hint="eastAsia" w:cs="Arial" w:asciiTheme="minorEastAsia" w:hAnsiTheme="minorEastAsia" w:eastAsiaTheme="minorEastAsia"/>
          <w:color w:val="000000"/>
          <w:kern w:val="0"/>
          <w:sz w:val="32"/>
          <w:szCs w:val="32"/>
        </w:rPr>
        <w:t>收入预算数与决算数差异的原因：1、本年人员工资福利政策性调增比例较大；2、年初预算不包含</w:t>
      </w:r>
      <w:r>
        <w:rPr>
          <w:rFonts w:hint="eastAsia" w:cs="Arial" w:asciiTheme="minorEastAsia" w:hAnsiTheme="minorEastAsia" w:eastAsiaTheme="minorEastAsia"/>
          <w:color w:val="000000"/>
          <w:kern w:val="0"/>
          <w:sz w:val="32"/>
          <w:szCs w:val="32"/>
          <w:lang w:eastAsia="zh-CN"/>
        </w:rPr>
        <w:t>部份</w:t>
      </w:r>
      <w:r>
        <w:rPr>
          <w:rFonts w:hint="eastAsia" w:cs="Arial" w:asciiTheme="minorEastAsia" w:hAnsiTheme="minorEastAsia" w:eastAsiaTheme="minorEastAsia"/>
          <w:color w:val="000000"/>
          <w:kern w:val="0"/>
          <w:sz w:val="32"/>
          <w:szCs w:val="32"/>
        </w:rPr>
        <w:t>项目支出，本年项目</w:t>
      </w:r>
      <w:r>
        <w:rPr>
          <w:rFonts w:hint="eastAsia" w:cs="Arial" w:asciiTheme="minorEastAsia" w:hAnsiTheme="minorEastAsia" w:eastAsiaTheme="minorEastAsia"/>
          <w:color w:val="000000"/>
          <w:kern w:val="0"/>
          <w:sz w:val="32"/>
          <w:szCs w:val="32"/>
          <w:lang w:eastAsia="zh-CN"/>
        </w:rPr>
        <w:t>支出</w:t>
      </w:r>
      <w:r>
        <w:rPr>
          <w:rFonts w:hint="eastAsia" w:cs="Arial" w:asciiTheme="minorEastAsia" w:hAnsiTheme="minorEastAsia" w:eastAsiaTheme="minorEastAsia"/>
          <w:color w:val="000000"/>
          <w:kern w:val="0"/>
          <w:sz w:val="32"/>
          <w:szCs w:val="32"/>
        </w:rPr>
        <w:t>类财政拨款</w:t>
      </w:r>
      <w:r>
        <w:rPr>
          <w:rFonts w:hint="eastAsia" w:cs="Arial" w:asciiTheme="minorEastAsia" w:hAnsiTheme="minorEastAsia" w:eastAsiaTheme="minorEastAsia"/>
          <w:color w:val="000000"/>
          <w:kern w:val="0"/>
          <w:sz w:val="32"/>
          <w:szCs w:val="32"/>
          <w:lang w:val="en-US" w:eastAsia="zh-CN"/>
        </w:rPr>
        <w:t>40.9</w:t>
      </w:r>
      <w:r>
        <w:rPr>
          <w:rFonts w:hint="eastAsia" w:cs="Arial" w:asciiTheme="minorEastAsia" w:hAnsiTheme="minorEastAsia" w:eastAsiaTheme="minorEastAsia"/>
          <w:color w:val="000000"/>
          <w:kern w:val="0"/>
          <w:sz w:val="32"/>
          <w:szCs w:val="32"/>
        </w:rPr>
        <w:t>万元。</w:t>
      </w:r>
    </w:p>
    <w:tbl>
      <w:tblPr>
        <w:tblStyle w:val="8"/>
        <w:tblW w:w="11410" w:type="dxa"/>
        <w:tblInd w:w="-1540" w:type="dxa"/>
        <w:tblLayout w:type="fixed"/>
        <w:tblCellMar>
          <w:top w:w="0" w:type="dxa"/>
          <w:left w:w="108" w:type="dxa"/>
          <w:bottom w:w="0" w:type="dxa"/>
          <w:right w:w="108" w:type="dxa"/>
        </w:tblCellMar>
      </w:tblPr>
      <w:tblGrid>
        <w:gridCol w:w="936"/>
        <w:gridCol w:w="936"/>
        <w:gridCol w:w="756"/>
        <w:gridCol w:w="595"/>
        <w:gridCol w:w="936"/>
        <w:gridCol w:w="638"/>
        <w:gridCol w:w="936"/>
        <w:gridCol w:w="936"/>
        <w:gridCol w:w="805"/>
        <w:gridCol w:w="936"/>
        <w:gridCol w:w="936"/>
        <w:gridCol w:w="756"/>
        <w:gridCol w:w="426"/>
        <w:gridCol w:w="396"/>
        <w:gridCol w:w="486"/>
      </w:tblGrid>
      <w:tr>
        <w:tblPrEx>
          <w:tblLayout w:type="fixed"/>
          <w:tblCellMar>
            <w:top w:w="0" w:type="dxa"/>
            <w:left w:w="108" w:type="dxa"/>
            <w:bottom w:w="0" w:type="dxa"/>
            <w:right w:w="108" w:type="dxa"/>
          </w:tblCellMar>
        </w:tblPrEx>
        <w:trPr>
          <w:trHeight w:val="308" w:hRule="atLeast"/>
        </w:trPr>
        <w:tc>
          <w:tcPr>
            <w:tcW w:w="2628"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收入总计</w:t>
            </w:r>
          </w:p>
        </w:tc>
        <w:tc>
          <w:tcPr>
            <w:tcW w:w="8782" w:type="dxa"/>
            <w:gridSpan w:val="12"/>
            <w:tcBorders>
              <w:top w:val="single" w:color="000000" w:sz="8" w:space="0"/>
              <w:left w:val="single" w:color="auto" w:sz="4" w:space="0"/>
              <w:bottom w:val="single" w:color="000000" w:sz="4" w:space="0"/>
              <w:right w:val="single" w:color="000000" w:sz="4" w:space="0"/>
            </w:tcBorders>
            <w:shd w:val="clear" w:color="FFFFFF" w:fill="FFFFFF"/>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其中：</w:t>
            </w:r>
          </w:p>
        </w:tc>
      </w:tr>
      <w:tr>
        <w:tblPrEx>
          <w:tblLayout w:type="fixed"/>
          <w:tblCellMar>
            <w:top w:w="0" w:type="dxa"/>
            <w:left w:w="108" w:type="dxa"/>
            <w:bottom w:w="0" w:type="dxa"/>
            <w:right w:w="108" w:type="dxa"/>
          </w:tblCellMar>
        </w:tblPrEx>
        <w:trPr>
          <w:trHeight w:val="323" w:hRule="atLeast"/>
        </w:trPr>
        <w:tc>
          <w:tcPr>
            <w:tcW w:w="93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年初预算数</w:t>
            </w:r>
          </w:p>
        </w:tc>
        <w:tc>
          <w:tcPr>
            <w:tcW w:w="93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决算数</w:t>
            </w:r>
          </w:p>
        </w:tc>
        <w:tc>
          <w:tcPr>
            <w:tcW w:w="75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差异率%</w:t>
            </w:r>
          </w:p>
        </w:tc>
        <w:tc>
          <w:tcPr>
            <w:tcW w:w="2169" w:type="dxa"/>
            <w:gridSpan w:val="3"/>
            <w:tcBorders>
              <w:top w:val="single" w:color="000000" w:sz="4" w:space="0"/>
              <w:left w:val="single" w:color="auto" w:sz="4" w:space="0"/>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年初结转和结余</w:t>
            </w:r>
          </w:p>
        </w:tc>
        <w:tc>
          <w:tcPr>
            <w:tcW w:w="2677"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本年收入</w:t>
            </w:r>
          </w:p>
        </w:tc>
        <w:tc>
          <w:tcPr>
            <w:tcW w:w="3936"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其中：</w:t>
            </w:r>
          </w:p>
        </w:tc>
      </w:tr>
      <w:tr>
        <w:tblPrEx>
          <w:tblLayout w:type="fixed"/>
          <w:tblCellMar>
            <w:top w:w="0" w:type="dxa"/>
            <w:left w:w="108" w:type="dxa"/>
            <w:bottom w:w="0" w:type="dxa"/>
            <w:right w:w="108" w:type="dxa"/>
          </w:tblCellMar>
        </w:tblPrEx>
        <w:trPr>
          <w:trHeight w:val="308"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8"/>
                <w:szCs w:val="18"/>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8"/>
                <w:szCs w:val="18"/>
              </w:rPr>
            </w:pPr>
          </w:p>
        </w:tc>
        <w:tc>
          <w:tcPr>
            <w:tcW w:w="595" w:type="dxa"/>
            <w:vMerge w:val="restart"/>
            <w:tcBorders>
              <w:top w:val="nil"/>
              <w:left w:val="single" w:color="auto" w:sz="4" w:space="0"/>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年初预算数</w:t>
            </w:r>
          </w:p>
        </w:tc>
        <w:tc>
          <w:tcPr>
            <w:tcW w:w="93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决算数</w:t>
            </w:r>
          </w:p>
        </w:tc>
        <w:tc>
          <w:tcPr>
            <w:tcW w:w="63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差异率%</w:t>
            </w:r>
          </w:p>
        </w:tc>
        <w:tc>
          <w:tcPr>
            <w:tcW w:w="93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年初预算数</w:t>
            </w:r>
          </w:p>
        </w:tc>
        <w:tc>
          <w:tcPr>
            <w:tcW w:w="93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决算数</w:t>
            </w:r>
          </w:p>
        </w:tc>
        <w:tc>
          <w:tcPr>
            <w:tcW w:w="80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差异率%</w:t>
            </w:r>
          </w:p>
        </w:tc>
        <w:tc>
          <w:tcPr>
            <w:tcW w:w="2628"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财政拨款</w:t>
            </w:r>
          </w:p>
        </w:tc>
        <w:tc>
          <w:tcPr>
            <w:tcW w:w="1308"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非财政拨款</w:t>
            </w:r>
          </w:p>
        </w:tc>
      </w:tr>
      <w:tr>
        <w:tblPrEx>
          <w:tblLayout w:type="fixed"/>
          <w:tblCellMar>
            <w:top w:w="0" w:type="dxa"/>
            <w:left w:w="108" w:type="dxa"/>
            <w:bottom w:w="0" w:type="dxa"/>
            <w:right w:w="108" w:type="dxa"/>
          </w:tblCellMar>
        </w:tblPrEx>
        <w:trPr>
          <w:trHeight w:val="1320"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8"/>
                <w:szCs w:val="18"/>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8"/>
                <w:szCs w:val="18"/>
              </w:rPr>
            </w:pPr>
          </w:p>
        </w:tc>
        <w:tc>
          <w:tcPr>
            <w:tcW w:w="595" w:type="dxa"/>
            <w:vMerge w:val="continue"/>
            <w:tcBorders>
              <w:top w:val="nil"/>
              <w:left w:val="single" w:color="auto"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8"/>
                <w:szCs w:val="18"/>
              </w:rPr>
            </w:pPr>
          </w:p>
        </w:tc>
        <w:tc>
          <w:tcPr>
            <w:tcW w:w="93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8"/>
                <w:szCs w:val="18"/>
              </w:rPr>
            </w:pPr>
          </w:p>
        </w:tc>
        <w:tc>
          <w:tcPr>
            <w:tcW w:w="638"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8"/>
                <w:szCs w:val="18"/>
              </w:rPr>
            </w:pPr>
          </w:p>
        </w:tc>
        <w:tc>
          <w:tcPr>
            <w:tcW w:w="93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8"/>
                <w:szCs w:val="18"/>
              </w:rPr>
            </w:pPr>
          </w:p>
        </w:tc>
        <w:tc>
          <w:tcPr>
            <w:tcW w:w="93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8"/>
                <w:szCs w:val="18"/>
              </w:rPr>
            </w:pPr>
          </w:p>
        </w:tc>
        <w:tc>
          <w:tcPr>
            <w:tcW w:w="80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8"/>
                <w:szCs w:val="18"/>
              </w:rPr>
            </w:pP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年初预算数</w:t>
            </w: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决算数</w:t>
            </w:r>
          </w:p>
        </w:tc>
        <w:tc>
          <w:tcPr>
            <w:tcW w:w="75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差异率%</w:t>
            </w:r>
          </w:p>
        </w:tc>
        <w:tc>
          <w:tcPr>
            <w:tcW w:w="42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年初预算数</w:t>
            </w:r>
          </w:p>
        </w:tc>
        <w:tc>
          <w:tcPr>
            <w:tcW w:w="39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决算数</w:t>
            </w:r>
          </w:p>
        </w:tc>
        <w:tc>
          <w:tcPr>
            <w:tcW w:w="48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差异率%</w:t>
            </w:r>
          </w:p>
        </w:tc>
      </w:tr>
      <w:tr>
        <w:tblPrEx>
          <w:tblLayout w:type="fixed"/>
          <w:tblCellMar>
            <w:top w:w="0" w:type="dxa"/>
            <w:left w:w="108" w:type="dxa"/>
            <w:bottom w:w="0" w:type="dxa"/>
            <w:right w:w="108" w:type="dxa"/>
          </w:tblCellMar>
        </w:tblPrEx>
        <w:trPr>
          <w:trHeight w:val="308" w:hRule="atLeast"/>
        </w:trPr>
        <w:tc>
          <w:tcPr>
            <w:tcW w:w="93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w:t>
            </w:r>
          </w:p>
        </w:tc>
        <w:tc>
          <w:tcPr>
            <w:tcW w:w="93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w:t>
            </w:r>
          </w:p>
        </w:tc>
        <w:tc>
          <w:tcPr>
            <w:tcW w:w="75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w:t>
            </w:r>
          </w:p>
        </w:tc>
        <w:tc>
          <w:tcPr>
            <w:tcW w:w="595" w:type="dxa"/>
            <w:tcBorders>
              <w:top w:val="nil"/>
              <w:left w:val="single" w:color="auto" w:sz="4" w:space="0"/>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w:t>
            </w: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w:t>
            </w:r>
          </w:p>
        </w:tc>
        <w:tc>
          <w:tcPr>
            <w:tcW w:w="638"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6</w:t>
            </w: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w:t>
            </w: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w:t>
            </w:r>
          </w:p>
        </w:tc>
        <w:tc>
          <w:tcPr>
            <w:tcW w:w="805"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w:t>
            </w: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w:t>
            </w: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w:t>
            </w:r>
          </w:p>
        </w:tc>
        <w:tc>
          <w:tcPr>
            <w:tcW w:w="75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w:t>
            </w:r>
          </w:p>
        </w:tc>
        <w:tc>
          <w:tcPr>
            <w:tcW w:w="42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w:t>
            </w:r>
          </w:p>
        </w:tc>
        <w:tc>
          <w:tcPr>
            <w:tcW w:w="39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14</w:t>
            </w:r>
          </w:p>
        </w:tc>
        <w:tc>
          <w:tcPr>
            <w:tcW w:w="48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w:t>
            </w:r>
          </w:p>
        </w:tc>
      </w:tr>
      <w:tr>
        <w:tblPrEx>
          <w:tblLayout w:type="fixed"/>
          <w:tblCellMar>
            <w:top w:w="0" w:type="dxa"/>
            <w:left w:w="108" w:type="dxa"/>
            <w:bottom w:w="0" w:type="dxa"/>
            <w:right w:w="108" w:type="dxa"/>
          </w:tblCellMar>
        </w:tblPrEx>
        <w:trPr>
          <w:trHeight w:val="308" w:hRule="atLeast"/>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365.53</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439.91</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20.35</w:t>
            </w:r>
          </w:p>
        </w:tc>
        <w:tc>
          <w:tcPr>
            <w:tcW w:w="595" w:type="dxa"/>
            <w:tcBorders>
              <w:top w:val="nil"/>
              <w:left w:val="single" w:color="auto" w:sz="4" w:space="0"/>
              <w:bottom w:val="single" w:color="000000" w:sz="4" w:space="0"/>
              <w:right w:val="single" w:color="000000" w:sz="4" w:space="0"/>
            </w:tcBorders>
            <w:shd w:val="clear" w:color="auto" w:fill="auto"/>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cs="Arial" w:asciiTheme="minorEastAsia" w:hAnsiTheme="minorEastAsia" w:eastAsiaTheme="minorEastAsia"/>
                <w:color w:val="000000"/>
                <w:kern w:val="0"/>
                <w:sz w:val="18"/>
                <w:szCs w:val="18"/>
              </w:rPr>
            </w:pPr>
          </w:p>
        </w:tc>
        <w:tc>
          <w:tcPr>
            <w:tcW w:w="638" w:type="dxa"/>
            <w:tcBorders>
              <w:top w:val="nil"/>
              <w:left w:val="nil"/>
              <w:bottom w:val="single" w:color="000000" w:sz="4" w:space="0"/>
              <w:right w:val="single" w:color="000000" w:sz="4" w:space="0"/>
            </w:tcBorders>
            <w:shd w:val="clear" w:color="auto" w:fill="auto"/>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365.53</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439.91</w:t>
            </w:r>
          </w:p>
        </w:tc>
        <w:tc>
          <w:tcPr>
            <w:tcW w:w="805"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20.35</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365.53</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435.37</w:t>
            </w:r>
          </w:p>
        </w:tc>
        <w:tc>
          <w:tcPr>
            <w:tcW w:w="756"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19.1</w:t>
            </w:r>
          </w:p>
        </w:tc>
        <w:tc>
          <w:tcPr>
            <w:tcW w:w="426" w:type="dxa"/>
            <w:tcBorders>
              <w:top w:val="nil"/>
              <w:left w:val="nil"/>
              <w:bottom w:val="single" w:color="000000" w:sz="4" w:space="0"/>
              <w:right w:val="single" w:color="000000" w:sz="4" w:space="0"/>
            </w:tcBorders>
            <w:shd w:val="clear" w:color="auto" w:fill="auto"/>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bl>
    <w:p>
      <w:pPr>
        <w:rPr>
          <w:rFonts w:asciiTheme="minorEastAsia" w:hAnsiTheme="minorEastAsia" w:eastAsiaTheme="minorEastAsia"/>
          <w:b/>
        </w:rPr>
      </w:pPr>
    </w:p>
    <w:p>
      <w:pPr>
        <w:jc w:val="center"/>
        <w:rPr>
          <w:rFonts w:hint="eastAsia" w:asciiTheme="minorEastAsia" w:hAnsiTheme="minorEastAsia" w:eastAsiaTheme="minorEastAsia"/>
          <w:b/>
        </w:rPr>
      </w:pPr>
      <w:r>
        <w:rPr>
          <w:rFonts w:hint="eastAsia" w:asciiTheme="minorEastAsia" w:hAnsiTheme="minorEastAsia" w:eastAsiaTheme="minorEastAsia"/>
          <w:b/>
        </w:rPr>
        <w:t>图表5  收入预算、决算对比分析（单位：万元）</w:t>
      </w:r>
    </w:p>
    <w:p>
      <w:pPr>
        <w:jc w:val="center"/>
        <w:rPr>
          <w:rFonts w:hint="eastAsia" w:asciiTheme="minorEastAsia" w:hAnsiTheme="minorEastAsia" w:eastAsiaTheme="minorEastAsia"/>
          <w:b/>
        </w:rPr>
      </w:pPr>
    </w:p>
    <w:p>
      <w:pPr>
        <w:jc w:val="center"/>
        <w:rPr>
          <w:rFonts w:hint="eastAsia" w:asciiTheme="minorEastAsia" w:hAnsiTheme="minorEastAsia" w:eastAsiaTheme="minorEastAsia"/>
          <w:b/>
        </w:rPr>
      </w:pPr>
    </w:p>
    <w:p>
      <w:pPr>
        <w:jc w:val="center"/>
        <w:rPr>
          <w:rFonts w:hint="eastAsia" w:asciiTheme="minorEastAsia" w:hAnsiTheme="minorEastAsia" w:eastAsiaTheme="minorEastAsia"/>
          <w:b/>
        </w:rPr>
      </w:pPr>
    </w:p>
    <w:p>
      <w:pPr>
        <w:jc w:val="center"/>
        <w:rPr>
          <w:rFonts w:hint="eastAsia" w:asciiTheme="minorEastAsia" w:hAnsiTheme="minorEastAsia" w:eastAsiaTheme="minorEastAsia"/>
          <w:b/>
        </w:rPr>
      </w:pPr>
    </w:p>
    <w:p>
      <w:pPr>
        <w:jc w:val="center"/>
        <w:rPr>
          <w:rFonts w:hint="eastAsia" w:asciiTheme="minorEastAsia" w:hAnsiTheme="minorEastAsia" w:eastAsiaTheme="minorEastAsia"/>
          <w:b/>
        </w:rPr>
      </w:pPr>
    </w:p>
    <w:p>
      <w:pPr>
        <w:jc w:val="center"/>
        <w:rPr>
          <w:rFonts w:hint="eastAsia" w:asciiTheme="minorEastAsia" w:hAnsiTheme="minorEastAsia" w:eastAsiaTheme="minorEastAsia"/>
          <w:b/>
        </w:rPr>
      </w:pPr>
    </w:p>
    <w:p>
      <w:pPr>
        <w:jc w:val="center"/>
        <w:rPr>
          <w:rFonts w:hint="eastAsia" w:asciiTheme="minorEastAsia" w:hAnsiTheme="minorEastAsia" w:eastAsiaTheme="minorEastAsia"/>
          <w:b/>
        </w:rPr>
      </w:pPr>
    </w:p>
    <w:tbl>
      <w:tblPr>
        <w:tblStyle w:val="8"/>
        <w:tblpPr w:leftFromText="180" w:rightFromText="180" w:vertAnchor="text" w:horzAnchor="margin" w:tblpXSpec="center" w:tblpY="127"/>
        <w:tblW w:w="10242" w:type="dxa"/>
        <w:tblInd w:w="0" w:type="dxa"/>
        <w:tblLayout w:type="fixed"/>
        <w:tblCellMar>
          <w:top w:w="0" w:type="dxa"/>
          <w:left w:w="108" w:type="dxa"/>
          <w:bottom w:w="0" w:type="dxa"/>
          <w:right w:w="108" w:type="dxa"/>
        </w:tblCellMar>
      </w:tblPr>
      <w:tblGrid>
        <w:gridCol w:w="936"/>
        <w:gridCol w:w="936"/>
        <w:gridCol w:w="756"/>
        <w:gridCol w:w="936"/>
        <w:gridCol w:w="936"/>
        <w:gridCol w:w="666"/>
        <w:gridCol w:w="936"/>
        <w:gridCol w:w="936"/>
        <w:gridCol w:w="666"/>
        <w:gridCol w:w="576"/>
        <w:gridCol w:w="936"/>
        <w:gridCol w:w="1026"/>
      </w:tblGrid>
      <w:tr>
        <w:tblPrEx>
          <w:tblLayout w:type="fixed"/>
          <w:tblCellMar>
            <w:top w:w="0" w:type="dxa"/>
            <w:left w:w="108" w:type="dxa"/>
            <w:bottom w:w="0" w:type="dxa"/>
            <w:right w:w="108" w:type="dxa"/>
          </w:tblCellMar>
        </w:tblPrEx>
        <w:trPr>
          <w:trHeight w:val="367" w:hRule="atLeast"/>
        </w:trPr>
        <w:tc>
          <w:tcPr>
            <w:tcW w:w="2628"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本年支出</w:t>
            </w:r>
          </w:p>
        </w:tc>
        <w:tc>
          <w:tcPr>
            <w:tcW w:w="7614" w:type="dxa"/>
            <w:gridSpan w:val="9"/>
            <w:tcBorders>
              <w:top w:val="single" w:color="000000" w:sz="8" w:space="0"/>
              <w:left w:val="single" w:color="auto" w:sz="4" w:space="0"/>
              <w:bottom w:val="single" w:color="000000" w:sz="4" w:space="0"/>
              <w:right w:val="single" w:color="000000" w:sz="4" w:space="0"/>
            </w:tcBorders>
            <w:shd w:val="clear" w:color="FFFFFF" w:fill="FFFFFF"/>
            <w:vAlign w:val="center"/>
          </w:tcPr>
          <w:p>
            <w:pPr>
              <w:widowControl/>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其中：</w:t>
            </w:r>
          </w:p>
        </w:tc>
      </w:tr>
      <w:tr>
        <w:tblPrEx>
          <w:tblLayout w:type="fixed"/>
          <w:tblCellMar>
            <w:top w:w="0" w:type="dxa"/>
            <w:left w:w="108" w:type="dxa"/>
            <w:bottom w:w="0" w:type="dxa"/>
            <w:right w:w="108" w:type="dxa"/>
          </w:tblCellMar>
        </w:tblPrEx>
        <w:trPr>
          <w:trHeight w:val="385" w:hRule="atLeast"/>
        </w:trPr>
        <w:tc>
          <w:tcPr>
            <w:tcW w:w="93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年初预算数</w:t>
            </w:r>
          </w:p>
        </w:tc>
        <w:tc>
          <w:tcPr>
            <w:tcW w:w="93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决算数</w:t>
            </w:r>
          </w:p>
        </w:tc>
        <w:tc>
          <w:tcPr>
            <w:tcW w:w="75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差异率%</w:t>
            </w:r>
          </w:p>
        </w:tc>
        <w:tc>
          <w:tcPr>
            <w:tcW w:w="5076" w:type="dxa"/>
            <w:gridSpan w:val="6"/>
            <w:tcBorders>
              <w:top w:val="single" w:color="000000" w:sz="4" w:space="0"/>
              <w:left w:val="single" w:color="auto" w:sz="4" w:space="0"/>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基本支出</w:t>
            </w:r>
          </w:p>
        </w:tc>
        <w:tc>
          <w:tcPr>
            <w:tcW w:w="2538"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项目支出</w:t>
            </w:r>
          </w:p>
        </w:tc>
      </w:tr>
      <w:tr>
        <w:tblPrEx>
          <w:tblLayout w:type="fixed"/>
          <w:tblCellMar>
            <w:top w:w="0" w:type="dxa"/>
            <w:left w:w="108" w:type="dxa"/>
            <w:bottom w:w="0" w:type="dxa"/>
            <w:right w:w="108" w:type="dxa"/>
          </w:tblCellMar>
        </w:tblPrEx>
        <w:trPr>
          <w:trHeight w:val="367"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6"/>
                <w:szCs w:val="16"/>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6"/>
                <w:szCs w:val="16"/>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6"/>
                <w:szCs w:val="16"/>
              </w:rPr>
            </w:pPr>
          </w:p>
        </w:tc>
        <w:tc>
          <w:tcPr>
            <w:tcW w:w="936" w:type="dxa"/>
            <w:vMerge w:val="restart"/>
            <w:tcBorders>
              <w:top w:val="nil"/>
              <w:left w:val="single" w:color="auto" w:sz="4" w:space="0"/>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年初预算数</w:t>
            </w:r>
          </w:p>
        </w:tc>
        <w:tc>
          <w:tcPr>
            <w:tcW w:w="93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决算数</w:t>
            </w:r>
          </w:p>
        </w:tc>
        <w:tc>
          <w:tcPr>
            <w:tcW w:w="6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差异率%</w:t>
            </w:r>
          </w:p>
        </w:tc>
        <w:tc>
          <w:tcPr>
            <w:tcW w:w="2538"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其中：财政拨款</w:t>
            </w:r>
          </w:p>
        </w:tc>
        <w:tc>
          <w:tcPr>
            <w:tcW w:w="57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年初预算数</w:t>
            </w:r>
          </w:p>
        </w:tc>
        <w:tc>
          <w:tcPr>
            <w:tcW w:w="93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决算数</w:t>
            </w:r>
          </w:p>
        </w:tc>
        <w:tc>
          <w:tcPr>
            <w:tcW w:w="102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差异率%</w:t>
            </w:r>
          </w:p>
        </w:tc>
      </w:tr>
      <w:tr>
        <w:tblPrEx>
          <w:tblLayout w:type="fixed"/>
          <w:tblCellMar>
            <w:top w:w="0" w:type="dxa"/>
            <w:left w:w="108" w:type="dxa"/>
            <w:bottom w:w="0" w:type="dxa"/>
            <w:right w:w="108" w:type="dxa"/>
          </w:tblCellMar>
        </w:tblPrEx>
        <w:trPr>
          <w:trHeight w:val="859"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6"/>
                <w:szCs w:val="16"/>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6"/>
                <w:szCs w:val="16"/>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 w:val="16"/>
                <w:szCs w:val="16"/>
              </w:rPr>
            </w:pPr>
          </w:p>
        </w:tc>
        <w:tc>
          <w:tcPr>
            <w:tcW w:w="936" w:type="dxa"/>
            <w:vMerge w:val="continue"/>
            <w:tcBorders>
              <w:top w:val="nil"/>
              <w:left w:val="single" w:color="auto"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16"/>
              </w:rPr>
            </w:pPr>
          </w:p>
        </w:tc>
        <w:tc>
          <w:tcPr>
            <w:tcW w:w="93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16"/>
              </w:rPr>
            </w:pPr>
          </w:p>
        </w:tc>
        <w:tc>
          <w:tcPr>
            <w:tcW w:w="66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16"/>
              </w:rPr>
            </w:pP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年初预算数</w:t>
            </w: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决算数</w:t>
            </w:r>
          </w:p>
        </w:tc>
        <w:tc>
          <w:tcPr>
            <w:tcW w:w="66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差异率%</w:t>
            </w:r>
          </w:p>
        </w:tc>
        <w:tc>
          <w:tcPr>
            <w:tcW w:w="57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16"/>
              </w:rPr>
            </w:pPr>
          </w:p>
        </w:tc>
        <w:tc>
          <w:tcPr>
            <w:tcW w:w="93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16"/>
              </w:rPr>
            </w:pPr>
          </w:p>
        </w:tc>
        <w:tc>
          <w:tcPr>
            <w:tcW w:w="102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16"/>
              </w:rPr>
            </w:pPr>
          </w:p>
        </w:tc>
      </w:tr>
      <w:tr>
        <w:tblPrEx>
          <w:tblLayout w:type="fixed"/>
          <w:tblCellMar>
            <w:top w:w="0" w:type="dxa"/>
            <w:left w:w="108" w:type="dxa"/>
            <w:bottom w:w="0" w:type="dxa"/>
            <w:right w:w="108" w:type="dxa"/>
          </w:tblCellMar>
        </w:tblPrEx>
        <w:trPr>
          <w:trHeight w:val="367" w:hRule="atLeast"/>
        </w:trPr>
        <w:tc>
          <w:tcPr>
            <w:tcW w:w="93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w:t>
            </w:r>
          </w:p>
        </w:tc>
        <w:tc>
          <w:tcPr>
            <w:tcW w:w="93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w:t>
            </w:r>
          </w:p>
        </w:tc>
        <w:tc>
          <w:tcPr>
            <w:tcW w:w="75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3</w:t>
            </w:r>
          </w:p>
        </w:tc>
        <w:tc>
          <w:tcPr>
            <w:tcW w:w="936" w:type="dxa"/>
            <w:tcBorders>
              <w:top w:val="nil"/>
              <w:left w:val="single" w:color="auto" w:sz="4" w:space="0"/>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4</w:t>
            </w: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5</w:t>
            </w:r>
          </w:p>
        </w:tc>
        <w:tc>
          <w:tcPr>
            <w:tcW w:w="66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6</w:t>
            </w: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7</w:t>
            </w: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8</w:t>
            </w:r>
          </w:p>
        </w:tc>
        <w:tc>
          <w:tcPr>
            <w:tcW w:w="66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9</w:t>
            </w:r>
          </w:p>
        </w:tc>
        <w:tc>
          <w:tcPr>
            <w:tcW w:w="57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10</w:t>
            </w:r>
          </w:p>
        </w:tc>
        <w:tc>
          <w:tcPr>
            <w:tcW w:w="93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11</w:t>
            </w:r>
          </w:p>
        </w:tc>
        <w:tc>
          <w:tcPr>
            <w:tcW w:w="102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w:t>
            </w:r>
          </w:p>
        </w:tc>
      </w:tr>
      <w:tr>
        <w:tblPrEx>
          <w:tblLayout w:type="fixed"/>
          <w:tblCellMar>
            <w:top w:w="0" w:type="dxa"/>
            <w:left w:w="108" w:type="dxa"/>
            <w:bottom w:w="0" w:type="dxa"/>
            <w:right w:w="108" w:type="dxa"/>
          </w:tblCellMar>
        </w:tblPrEx>
        <w:trPr>
          <w:trHeight w:val="367" w:hRule="atLeast"/>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365.53</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438.61</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19.99</w:t>
            </w:r>
          </w:p>
        </w:tc>
        <w:tc>
          <w:tcPr>
            <w:tcW w:w="936" w:type="dxa"/>
            <w:tcBorders>
              <w:top w:val="nil"/>
              <w:left w:val="single" w:color="auto" w:sz="4" w:space="0"/>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365.53</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438.61</w:t>
            </w:r>
          </w:p>
        </w:tc>
        <w:tc>
          <w:tcPr>
            <w:tcW w:w="666"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19.99</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365.53</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435.37</w:t>
            </w:r>
          </w:p>
        </w:tc>
        <w:tc>
          <w:tcPr>
            <w:tcW w:w="666"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19.1</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65</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val="en-US" w:eastAsia="zh-CN"/>
              </w:rPr>
              <w:t>101.9</w:t>
            </w:r>
          </w:p>
        </w:tc>
        <w:tc>
          <w:tcPr>
            <w:tcW w:w="1026" w:type="dxa"/>
            <w:tcBorders>
              <w:top w:val="nil"/>
              <w:left w:val="nil"/>
              <w:bottom w:val="single" w:color="000000" w:sz="4" w:space="0"/>
              <w:right w:val="single" w:color="000000" w:sz="4" w:space="0"/>
            </w:tcBorders>
            <w:shd w:val="clear" w:color="auto" w:fill="auto"/>
            <w:vAlign w:val="center"/>
          </w:tcPr>
          <w:p>
            <w:pPr>
              <w:widowControl/>
              <w:jc w:val="both"/>
              <w:rPr>
                <w:rFonts w:hint="eastAsia" w:cs="Arial" w:asciiTheme="minorEastAsia" w:hAnsiTheme="minorEastAsia" w:eastAsiaTheme="minorEastAsia"/>
                <w:color w:val="000000"/>
                <w:kern w:val="0"/>
                <w:sz w:val="18"/>
                <w:szCs w:val="18"/>
                <w:lang w:val="en-US" w:eastAsia="zh-CN"/>
              </w:rPr>
            </w:pPr>
            <w:r>
              <w:rPr>
                <w:rFonts w:hint="eastAsia" w:cs="Arial" w:asciiTheme="minorEastAsia" w:hAnsiTheme="minorEastAsia" w:eastAsiaTheme="minorEastAsia"/>
                <w:color w:val="000000"/>
                <w:kern w:val="0"/>
                <w:sz w:val="18"/>
                <w:szCs w:val="18"/>
                <w:lang w:val="en-US" w:eastAsia="zh-CN"/>
              </w:rPr>
              <w:t>56.78</w:t>
            </w:r>
          </w:p>
        </w:tc>
      </w:tr>
    </w:tbl>
    <w:p>
      <w:pPr>
        <w:rPr>
          <w:rFonts w:asciiTheme="minorEastAsia" w:hAnsiTheme="minorEastAsia" w:eastAsiaTheme="minorEastAsia"/>
          <w:b/>
        </w:rPr>
      </w:pPr>
    </w:p>
    <w:p>
      <w:pPr>
        <w:keepNext/>
        <w:spacing w:line="360" w:lineRule="auto"/>
        <w:ind w:left="-182" w:leftChars="-172" w:hanging="179" w:hangingChars="85"/>
        <w:jc w:val="center"/>
        <w:rPr>
          <w:rFonts w:asciiTheme="minorEastAsia" w:hAnsiTheme="minorEastAsia" w:eastAsiaTheme="minorEastAsia"/>
          <w:b/>
        </w:rPr>
      </w:pPr>
      <w:r>
        <w:rPr>
          <w:rFonts w:hint="eastAsia" w:asciiTheme="minorEastAsia" w:hAnsiTheme="minorEastAsia" w:eastAsiaTheme="minorEastAsia"/>
          <w:b/>
          <w:szCs w:val="21"/>
        </w:rPr>
        <w:t>图表6</w:t>
      </w: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支出</w:t>
      </w:r>
      <w:r>
        <w:rPr>
          <w:rFonts w:hint="eastAsia" w:asciiTheme="minorEastAsia" w:hAnsiTheme="minorEastAsia" w:eastAsiaTheme="minorEastAsia"/>
          <w:b/>
        </w:rPr>
        <w:t>预算、决算对比分析（单位：万元）</w:t>
      </w:r>
    </w:p>
    <w:p>
      <w:pPr>
        <w:keepNext/>
        <w:spacing w:line="360" w:lineRule="auto"/>
        <w:ind w:left="-1464" w:leftChars="-697" w:firstLine="640" w:firstLineChars="200"/>
        <w:jc w:val="both"/>
        <w:rPr>
          <w:rFonts w:asciiTheme="minorEastAsia" w:hAnsiTheme="minorEastAsia" w:eastAsiaTheme="minorEastAsia"/>
          <w:b/>
        </w:rPr>
      </w:pPr>
      <w:r>
        <w:rPr>
          <w:rFonts w:hint="eastAsia" w:cs="Arial" w:asciiTheme="minorEastAsia" w:hAnsiTheme="minorEastAsia" w:eastAsiaTheme="minorEastAsia"/>
          <w:color w:val="000000"/>
          <w:kern w:val="0"/>
          <w:sz w:val="32"/>
          <w:szCs w:val="32"/>
        </w:rPr>
        <w:t>支出预算数与决算数差异的原因：1、本年人员工资福利支出政策性调增比例较大；2、年初预算不包含</w:t>
      </w:r>
      <w:r>
        <w:rPr>
          <w:rFonts w:hint="eastAsia" w:cs="Arial" w:asciiTheme="minorEastAsia" w:hAnsiTheme="minorEastAsia" w:eastAsiaTheme="minorEastAsia"/>
          <w:color w:val="000000"/>
          <w:kern w:val="0"/>
          <w:sz w:val="32"/>
          <w:szCs w:val="32"/>
          <w:lang w:eastAsia="zh-CN"/>
        </w:rPr>
        <w:t>部份</w:t>
      </w:r>
      <w:r>
        <w:rPr>
          <w:rFonts w:hint="eastAsia" w:cs="Arial" w:asciiTheme="minorEastAsia" w:hAnsiTheme="minorEastAsia" w:eastAsiaTheme="minorEastAsia"/>
          <w:color w:val="000000"/>
          <w:kern w:val="0"/>
          <w:sz w:val="32"/>
          <w:szCs w:val="32"/>
        </w:rPr>
        <w:t>项目支出，本年项目</w:t>
      </w:r>
      <w:r>
        <w:rPr>
          <w:rFonts w:hint="eastAsia" w:cs="Arial" w:asciiTheme="minorEastAsia" w:hAnsiTheme="minorEastAsia" w:eastAsiaTheme="minorEastAsia"/>
          <w:color w:val="000000"/>
          <w:kern w:val="0"/>
          <w:sz w:val="32"/>
          <w:szCs w:val="32"/>
          <w:lang w:eastAsia="zh-CN"/>
        </w:rPr>
        <w:t>支</w:t>
      </w:r>
      <w:r>
        <w:rPr>
          <w:rFonts w:hint="eastAsia" w:cs="Arial" w:asciiTheme="minorEastAsia" w:hAnsiTheme="minorEastAsia" w:eastAsiaTheme="minorEastAsia"/>
          <w:color w:val="000000"/>
          <w:kern w:val="0"/>
          <w:sz w:val="32"/>
          <w:szCs w:val="32"/>
        </w:rPr>
        <w:t>类财政拨款</w:t>
      </w:r>
      <w:r>
        <w:rPr>
          <w:rFonts w:hint="eastAsia" w:cs="Arial" w:asciiTheme="minorEastAsia" w:hAnsiTheme="minorEastAsia" w:eastAsiaTheme="minorEastAsia"/>
          <w:color w:val="000000"/>
          <w:kern w:val="0"/>
          <w:sz w:val="32"/>
          <w:szCs w:val="32"/>
          <w:lang w:val="en-US" w:eastAsia="zh-CN"/>
        </w:rPr>
        <w:t>101.9</w:t>
      </w:r>
      <w:r>
        <w:rPr>
          <w:rFonts w:hint="eastAsia" w:cs="Arial" w:asciiTheme="minorEastAsia" w:hAnsiTheme="minorEastAsia" w:eastAsiaTheme="minorEastAsia"/>
          <w:color w:val="000000"/>
          <w:kern w:val="0"/>
          <w:sz w:val="32"/>
          <w:szCs w:val="32"/>
        </w:rPr>
        <w:t>万元。</w:t>
      </w:r>
    </w:p>
    <w:p>
      <w:pPr>
        <w:spacing w:line="360" w:lineRule="auto"/>
        <w:jc w:val="left"/>
        <w:rPr>
          <w:rFonts w:asciiTheme="minorEastAsia" w:hAnsiTheme="minorEastAsia" w:eastAsiaTheme="minorEastAsia"/>
          <w:sz w:val="32"/>
          <w:szCs w:val="32"/>
        </w:rPr>
      </w:pPr>
      <w:r>
        <w:rPr>
          <w:rFonts w:hint="eastAsia" w:asciiTheme="minorEastAsia" w:hAnsiTheme="minorEastAsia" w:eastAsiaTheme="minorEastAsia"/>
          <w:sz w:val="32"/>
          <w:szCs w:val="32"/>
        </w:rPr>
        <w:t>2.收入支出与上年数据对比分析</w:t>
      </w:r>
    </w:p>
    <w:p>
      <w:pPr>
        <w:spacing w:line="360" w:lineRule="auto"/>
        <w:jc w:val="left"/>
        <w:rPr>
          <w:rFonts w:asciiTheme="minorEastAsia" w:hAnsiTheme="minorEastAsia" w:eastAsiaTheme="minorEastAsia"/>
          <w:szCs w:val="21"/>
        </w:rPr>
      </w:pPr>
      <w:r>
        <w:drawing>
          <wp:inline distT="0" distB="0" distL="114300" distR="114300">
            <wp:extent cx="6097270" cy="2981325"/>
            <wp:effectExtent l="4445" t="4445" r="13335" b="5080"/>
            <wp:docPr id="1218" name="Chart 1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360" w:lineRule="auto"/>
        <w:jc w:val="center"/>
        <w:rPr>
          <w:rFonts w:hint="eastAsia" w:asciiTheme="minorEastAsia" w:hAnsiTheme="minorEastAsia" w:eastAsiaTheme="minorEastAsia"/>
          <w:b/>
          <w:szCs w:val="21"/>
        </w:rPr>
      </w:pPr>
      <w:r>
        <w:rPr>
          <w:rFonts w:hint="eastAsia" w:asciiTheme="minorEastAsia" w:hAnsiTheme="minorEastAsia" w:eastAsiaTheme="minorEastAsia"/>
          <w:b/>
          <w:szCs w:val="21"/>
        </w:rPr>
        <w:t>图表7 收入与上年对比分析图 单位：万元</w:t>
      </w:r>
    </w:p>
    <w:p>
      <w:pPr>
        <w:spacing w:line="360" w:lineRule="auto"/>
        <w:jc w:val="center"/>
        <w:rPr>
          <w:rFonts w:hint="eastAsia" w:asciiTheme="minorEastAsia" w:hAnsiTheme="minorEastAsia" w:eastAsiaTheme="minorEastAsia"/>
          <w:b/>
          <w:szCs w:val="21"/>
        </w:rPr>
      </w:pPr>
    </w:p>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 w:val="44"/>
          <w:szCs w:val="44"/>
        </w:rPr>
        <w:t xml:space="preserve">支出与上年对比表 </w:t>
      </w:r>
      <w:r>
        <w:rPr>
          <w:rFonts w:hint="eastAsia" w:asciiTheme="minorEastAsia" w:hAnsiTheme="minorEastAsia" w:eastAsiaTheme="minorEastAsia"/>
          <w:b/>
          <w:szCs w:val="21"/>
        </w:rPr>
        <w:t xml:space="preserve"> 单位：万元</w:t>
      </w:r>
    </w:p>
    <w:tbl>
      <w:tblPr>
        <w:tblStyle w:val="8"/>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10"/>
        <w:gridCol w:w="1830"/>
        <w:gridCol w:w="2115"/>
        <w:gridCol w:w="2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1710" w:type="dxa"/>
            <w:tcBorders>
              <w:top w:val="single" w:color="000000" w:sz="12" w:space="0"/>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功能科目</w:t>
            </w:r>
          </w:p>
        </w:tc>
        <w:tc>
          <w:tcPr>
            <w:tcW w:w="1830" w:type="dxa"/>
            <w:tcBorders>
              <w:top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2016年</w:t>
            </w:r>
          </w:p>
        </w:tc>
        <w:tc>
          <w:tcPr>
            <w:tcW w:w="2115" w:type="dxa"/>
            <w:tcBorders>
              <w:top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2017年</w:t>
            </w:r>
          </w:p>
        </w:tc>
        <w:tc>
          <w:tcPr>
            <w:tcW w:w="2940" w:type="dxa"/>
            <w:tcBorders>
              <w:top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增减比率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10"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一般公共服务</w:t>
            </w:r>
          </w:p>
        </w:tc>
        <w:tc>
          <w:tcPr>
            <w:tcW w:w="1830"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334.85</w:t>
            </w:r>
          </w:p>
        </w:tc>
        <w:tc>
          <w:tcPr>
            <w:tcW w:w="2115" w:type="dxa"/>
            <w:tcBorders>
              <w:bottom w:val="single" w:color="000000" w:sz="12" w:space="0"/>
              <w:right w:val="single" w:color="000000" w:sz="12" w:space="0"/>
            </w:tcBorders>
            <w:shd w:val="clear" w:color="auto" w:fill="FFFFFF"/>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358.32</w:t>
            </w:r>
          </w:p>
        </w:tc>
        <w:tc>
          <w:tcPr>
            <w:tcW w:w="2940"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10"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教育</w:t>
            </w:r>
          </w:p>
        </w:tc>
        <w:tc>
          <w:tcPr>
            <w:tcW w:w="1830"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2115" w:type="dxa"/>
            <w:tcBorders>
              <w:bottom w:val="single" w:color="000000" w:sz="12" w:space="0"/>
              <w:right w:val="single" w:color="000000" w:sz="12" w:space="0"/>
            </w:tcBorders>
            <w:shd w:val="clear" w:color="auto" w:fill="FFFFFF"/>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2940"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710"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社会保障和就业</w:t>
            </w:r>
          </w:p>
        </w:tc>
        <w:tc>
          <w:tcPr>
            <w:tcW w:w="1830"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38.54</w:t>
            </w:r>
          </w:p>
        </w:tc>
        <w:tc>
          <w:tcPr>
            <w:tcW w:w="2115" w:type="dxa"/>
            <w:tcBorders>
              <w:bottom w:val="single" w:color="000000" w:sz="12" w:space="0"/>
              <w:right w:val="single" w:color="000000" w:sz="12" w:space="0"/>
            </w:tcBorders>
            <w:shd w:val="clear" w:color="auto" w:fill="FFFFFF"/>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32.97</w:t>
            </w:r>
          </w:p>
        </w:tc>
        <w:tc>
          <w:tcPr>
            <w:tcW w:w="2940"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710"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医疗卫生</w:t>
            </w:r>
          </w:p>
        </w:tc>
        <w:tc>
          <w:tcPr>
            <w:tcW w:w="1830"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26.28</w:t>
            </w:r>
          </w:p>
        </w:tc>
        <w:tc>
          <w:tcPr>
            <w:tcW w:w="2115" w:type="dxa"/>
            <w:tcBorders>
              <w:bottom w:val="single" w:color="000000" w:sz="12" w:space="0"/>
              <w:right w:val="single" w:color="000000" w:sz="12" w:space="0"/>
            </w:tcBorders>
            <w:shd w:val="clear" w:color="auto" w:fill="FFFFFF"/>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25.36</w:t>
            </w:r>
          </w:p>
        </w:tc>
        <w:tc>
          <w:tcPr>
            <w:tcW w:w="2940"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710"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住房保障支出</w:t>
            </w:r>
          </w:p>
        </w:tc>
        <w:tc>
          <w:tcPr>
            <w:tcW w:w="1830"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29.72</w:t>
            </w:r>
          </w:p>
        </w:tc>
        <w:tc>
          <w:tcPr>
            <w:tcW w:w="2115" w:type="dxa"/>
            <w:tcBorders>
              <w:bottom w:val="single" w:color="000000" w:sz="12" w:space="0"/>
              <w:right w:val="single" w:color="000000" w:sz="12" w:space="0"/>
            </w:tcBorders>
            <w:shd w:val="clear" w:color="auto" w:fill="FFFFFF"/>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21.96</w:t>
            </w:r>
          </w:p>
        </w:tc>
        <w:tc>
          <w:tcPr>
            <w:tcW w:w="2940"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w:t>
            </w:r>
          </w:p>
        </w:tc>
      </w:tr>
    </w:tbl>
    <w:p>
      <w:pPr>
        <w:spacing w:line="360" w:lineRule="auto"/>
        <w:jc w:val="left"/>
        <w:rPr>
          <w:rFonts w:asciiTheme="minorEastAsia" w:hAnsiTheme="minorEastAsia" w:eastAsiaTheme="minorEastAsia"/>
          <w:szCs w:val="21"/>
        </w:rPr>
      </w:pPr>
      <w:r>
        <w:drawing>
          <wp:inline distT="0" distB="0" distL="114300" distR="114300">
            <wp:extent cx="5838190" cy="2193925"/>
            <wp:effectExtent l="5080" t="4445" r="5080" b="11430"/>
            <wp:docPr id="266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360" w:lineRule="auto"/>
        <w:jc w:val="left"/>
        <w:rPr>
          <w:rFonts w:asciiTheme="minorEastAsia" w:hAnsiTheme="minorEastAsia" w:eastAsiaTheme="minorEastAsia"/>
          <w:szCs w:val="21"/>
        </w:rPr>
      </w:pPr>
    </w:p>
    <w:p>
      <w:pPr>
        <w:spacing w:line="360" w:lineRule="auto"/>
        <w:ind w:firstLine="103" w:firstLineChars="49"/>
        <w:jc w:val="center"/>
        <w:rPr>
          <w:rFonts w:asciiTheme="minorEastAsia" w:hAnsiTheme="minorEastAsia" w:eastAsiaTheme="minorEastAsia"/>
          <w:szCs w:val="21"/>
        </w:rPr>
      </w:pPr>
      <w:r>
        <w:rPr>
          <w:rFonts w:hint="eastAsia" w:asciiTheme="minorEastAsia" w:hAnsiTheme="minorEastAsia" w:eastAsiaTheme="minorEastAsia"/>
          <w:b/>
          <w:szCs w:val="21"/>
        </w:rPr>
        <w:t>图表8 支出与上年对比分析图    单位：万元</w:t>
      </w:r>
    </w:p>
    <w:p>
      <w:pPr>
        <w:spacing w:line="360" w:lineRule="auto"/>
        <w:ind w:firstLine="803" w:firstLineChars="250"/>
        <w:jc w:val="left"/>
        <w:rPr>
          <w:rFonts w:asciiTheme="minorEastAsia" w:hAnsiTheme="minorEastAsia" w:eastAsiaTheme="minorEastAsia"/>
          <w:b/>
          <w:sz w:val="32"/>
          <w:szCs w:val="32"/>
        </w:rPr>
      </w:pPr>
      <w:r>
        <w:rPr>
          <w:rFonts w:hint="eastAsia" w:asciiTheme="minorEastAsia" w:hAnsiTheme="minorEastAsia" w:eastAsiaTheme="minorEastAsia"/>
          <w:b/>
          <w:sz w:val="32"/>
          <w:szCs w:val="32"/>
        </w:rPr>
        <w:t>（二）结余情况分析</w:t>
      </w:r>
    </w:p>
    <w:p>
      <w:pPr>
        <w:spacing w:line="360" w:lineRule="auto"/>
        <w:ind w:left="426" w:firstLine="640" w:firstLineChars="200"/>
        <w:jc w:val="left"/>
        <w:rPr>
          <w:rFonts w:asciiTheme="minorEastAsia" w:hAnsiTheme="minorEastAsia" w:eastAsiaTheme="minorEastAsia"/>
          <w:b/>
          <w:sz w:val="32"/>
          <w:szCs w:val="32"/>
        </w:rPr>
      </w:pPr>
      <w:r>
        <w:rPr>
          <w:rFonts w:hint="eastAsia" w:asciiTheme="minorEastAsia" w:hAnsiTheme="minorEastAsia" w:eastAsiaTheme="minorEastAsia"/>
          <w:color w:val="000000"/>
          <w:sz w:val="32"/>
          <w:szCs w:val="32"/>
        </w:rPr>
        <w:t>201</w:t>
      </w:r>
      <w:r>
        <w:rPr>
          <w:rFonts w:hint="eastAsia" w:asciiTheme="minorEastAsia" w:hAnsiTheme="minorEastAsia" w:eastAsiaTheme="minorEastAsia"/>
          <w:color w:val="000000"/>
          <w:sz w:val="32"/>
          <w:szCs w:val="32"/>
          <w:lang w:val="en-US" w:eastAsia="zh-CN"/>
        </w:rPr>
        <w:t>7</w:t>
      </w:r>
      <w:r>
        <w:rPr>
          <w:rFonts w:hint="eastAsia" w:asciiTheme="minorEastAsia" w:hAnsiTheme="minorEastAsia" w:eastAsiaTheme="minorEastAsia"/>
          <w:color w:val="000000"/>
          <w:sz w:val="32"/>
          <w:szCs w:val="32"/>
        </w:rPr>
        <w:t>年共有结余资金</w:t>
      </w:r>
      <w:r>
        <w:rPr>
          <w:rFonts w:hint="eastAsia" w:asciiTheme="minorEastAsia" w:hAnsiTheme="minorEastAsia" w:eastAsiaTheme="minorEastAsia"/>
          <w:color w:val="000000"/>
          <w:sz w:val="32"/>
          <w:szCs w:val="32"/>
          <w:lang w:val="en-US" w:eastAsia="zh-CN"/>
        </w:rPr>
        <w:t>1.3</w:t>
      </w:r>
      <w:r>
        <w:rPr>
          <w:rFonts w:hint="eastAsia" w:asciiTheme="minorEastAsia" w:hAnsiTheme="minorEastAsia" w:eastAsiaTheme="minorEastAsia"/>
          <w:color w:val="000000"/>
          <w:sz w:val="32"/>
          <w:szCs w:val="32"/>
        </w:rPr>
        <w:t>万元，其中：财政拨款结余</w:t>
      </w:r>
      <w:r>
        <w:rPr>
          <w:rFonts w:hint="eastAsia" w:asciiTheme="minorEastAsia" w:hAnsiTheme="minorEastAsia" w:eastAsiaTheme="minorEastAsia"/>
          <w:color w:val="000000"/>
          <w:sz w:val="32"/>
          <w:szCs w:val="32"/>
          <w:lang w:val="en-US" w:eastAsia="zh-CN"/>
        </w:rPr>
        <w:t>0</w:t>
      </w:r>
      <w:r>
        <w:rPr>
          <w:rFonts w:hint="eastAsia" w:asciiTheme="minorEastAsia" w:hAnsiTheme="minorEastAsia" w:eastAsiaTheme="minorEastAsia"/>
          <w:color w:val="000000"/>
          <w:sz w:val="32"/>
          <w:szCs w:val="32"/>
        </w:rPr>
        <w:t>万元，其他收入结余</w:t>
      </w:r>
      <w:r>
        <w:rPr>
          <w:rFonts w:hint="eastAsia" w:asciiTheme="minorEastAsia" w:hAnsiTheme="minorEastAsia" w:eastAsiaTheme="minorEastAsia"/>
          <w:color w:val="000000"/>
          <w:sz w:val="32"/>
          <w:szCs w:val="32"/>
          <w:lang w:val="en-US" w:eastAsia="zh-CN"/>
        </w:rPr>
        <w:t>1.3</w:t>
      </w:r>
      <w:r>
        <w:rPr>
          <w:rFonts w:hint="eastAsia" w:asciiTheme="minorEastAsia" w:hAnsiTheme="minorEastAsia" w:eastAsiaTheme="minorEastAsia"/>
          <w:color w:val="000000"/>
          <w:sz w:val="32"/>
          <w:szCs w:val="32"/>
        </w:rPr>
        <w:t>万元，</w:t>
      </w:r>
      <w:r>
        <w:rPr>
          <w:rFonts w:hint="eastAsia" w:asciiTheme="minorEastAsia" w:hAnsiTheme="minorEastAsia" w:eastAsiaTheme="minorEastAsia"/>
          <w:sz w:val="32"/>
          <w:szCs w:val="32"/>
        </w:rPr>
        <w:t>结余原因主要是</w:t>
      </w:r>
      <w:r>
        <w:rPr>
          <w:rFonts w:hint="eastAsia" w:asciiTheme="minorEastAsia" w:hAnsiTheme="minorEastAsia" w:eastAsiaTheme="minorEastAsia"/>
          <w:sz w:val="32"/>
          <w:szCs w:val="32"/>
          <w:lang w:eastAsia="zh-CN"/>
        </w:rPr>
        <w:t>其他收入为市审计局拨入审计业务费，到位时间为</w:t>
      </w:r>
      <w:r>
        <w:rPr>
          <w:rFonts w:hint="eastAsia" w:asciiTheme="minorEastAsia" w:hAnsiTheme="minorEastAsia" w:eastAsiaTheme="minorEastAsia"/>
          <w:sz w:val="32"/>
          <w:szCs w:val="32"/>
          <w:lang w:val="en-US" w:eastAsia="zh-CN"/>
        </w:rPr>
        <w:t>17年11月</w:t>
      </w:r>
      <w:r>
        <w:rPr>
          <w:rFonts w:hint="eastAsia" w:asciiTheme="minorEastAsia" w:hAnsiTheme="minorEastAsia" w:eastAsiaTheme="minorEastAsia"/>
          <w:sz w:val="32"/>
          <w:szCs w:val="32"/>
        </w:rPr>
        <w:t>。</w:t>
      </w:r>
    </w:p>
    <w:p>
      <w:pPr>
        <w:spacing w:line="360" w:lineRule="auto"/>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drawing>
          <wp:inline distT="0" distB="0" distL="114300" distR="114300">
            <wp:extent cx="5631180" cy="2037715"/>
            <wp:effectExtent l="4445" t="4445" r="22225" b="15240"/>
            <wp:docPr id="103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
          <w:szCs w:val="21"/>
        </w:rPr>
        <w:t>图表9 结余情况分析图     单位：万元</w:t>
      </w:r>
    </w:p>
    <w:p>
      <w:pPr>
        <w:numPr>
          <w:ilvl w:val="0"/>
          <w:numId w:val="4"/>
        </w:numPr>
        <w:spacing w:line="360" w:lineRule="auto"/>
        <w:jc w:val="left"/>
        <w:rPr>
          <w:rFonts w:asciiTheme="minorEastAsia" w:hAnsiTheme="minorEastAsia" w:eastAsiaTheme="minorEastAsia"/>
          <w:sz w:val="32"/>
          <w:szCs w:val="32"/>
        </w:rPr>
      </w:pPr>
      <w:r>
        <w:rPr>
          <w:rFonts w:hint="eastAsia" w:asciiTheme="minorEastAsia" w:hAnsiTheme="minorEastAsia" w:eastAsiaTheme="minorEastAsia"/>
          <w:sz w:val="32"/>
          <w:szCs w:val="32"/>
        </w:rPr>
        <w:t>财政拨款结余情况表（单位：元）</w:t>
      </w:r>
    </w:p>
    <w:p>
      <w:pPr>
        <w:numPr>
          <w:ilvl w:val="0"/>
          <w:numId w:val="0"/>
        </w:numPr>
        <w:spacing w:line="360" w:lineRule="auto"/>
        <w:ind w:left="451" w:leftChars="0"/>
        <w:jc w:val="left"/>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 xml:space="preserve">  无财政拨款项目结余和其本结余</w:t>
      </w:r>
    </w:p>
    <w:p>
      <w:pPr>
        <w:pStyle w:val="13"/>
        <w:numPr>
          <w:ilvl w:val="0"/>
          <w:numId w:val="4"/>
        </w:numPr>
        <w:spacing w:line="360" w:lineRule="auto"/>
        <w:ind w:firstLineChars="0"/>
        <w:jc w:val="left"/>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其他</w:t>
      </w:r>
      <w:r>
        <w:rPr>
          <w:rFonts w:hint="eastAsia" w:asciiTheme="minorEastAsia" w:hAnsiTheme="minorEastAsia" w:eastAsiaTheme="minorEastAsia"/>
          <w:sz w:val="32"/>
          <w:szCs w:val="32"/>
        </w:rPr>
        <w:t>基本结余情况表（单位：元）</w:t>
      </w:r>
    </w:p>
    <w:tbl>
      <w:tblPr>
        <w:tblStyle w:val="8"/>
        <w:tblW w:w="9117" w:type="dxa"/>
        <w:tblInd w:w="93" w:type="dxa"/>
        <w:tblLayout w:type="fixed"/>
        <w:tblCellMar>
          <w:top w:w="0" w:type="dxa"/>
          <w:left w:w="108" w:type="dxa"/>
          <w:bottom w:w="0" w:type="dxa"/>
          <w:right w:w="108" w:type="dxa"/>
        </w:tblCellMar>
      </w:tblPr>
      <w:tblGrid>
        <w:gridCol w:w="1948"/>
        <w:gridCol w:w="3057"/>
        <w:gridCol w:w="2813"/>
        <w:gridCol w:w="1299"/>
      </w:tblGrid>
      <w:tr>
        <w:tblPrEx>
          <w:tblLayout w:type="fixed"/>
          <w:tblCellMar>
            <w:top w:w="0" w:type="dxa"/>
            <w:left w:w="108" w:type="dxa"/>
            <w:bottom w:w="0" w:type="dxa"/>
            <w:right w:w="108" w:type="dxa"/>
          </w:tblCellMar>
        </w:tblPrEx>
        <w:trPr>
          <w:trHeight w:val="598" w:hRule="atLeast"/>
        </w:trPr>
        <w:tc>
          <w:tcPr>
            <w:tcW w:w="19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功能科目代码</w:t>
            </w:r>
          </w:p>
        </w:tc>
        <w:tc>
          <w:tcPr>
            <w:tcW w:w="305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功能科目名称</w:t>
            </w:r>
          </w:p>
        </w:tc>
        <w:tc>
          <w:tcPr>
            <w:tcW w:w="281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结余</w:t>
            </w:r>
          </w:p>
        </w:tc>
        <w:tc>
          <w:tcPr>
            <w:tcW w:w="129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备注</w:t>
            </w:r>
          </w:p>
        </w:tc>
      </w:tr>
      <w:tr>
        <w:tblPrEx>
          <w:tblLayout w:type="fixed"/>
          <w:tblCellMar>
            <w:top w:w="0" w:type="dxa"/>
            <w:left w:w="108" w:type="dxa"/>
            <w:bottom w:w="0" w:type="dxa"/>
            <w:right w:w="108" w:type="dxa"/>
          </w:tblCellMar>
        </w:tblPrEx>
        <w:trPr>
          <w:trHeight w:val="549" w:hRule="atLeast"/>
        </w:trPr>
        <w:tc>
          <w:tcPr>
            <w:tcW w:w="194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cs="Arial" w:asciiTheme="minorEastAsia" w:hAnsiTheme="minorEastAsia" w:eastAsiaTheme="minorEastAsia"/>
                <w:color w:val="000000"/>
                <w:kern w:val="0"/>
                <w:szCs w:val="21"/>
                <w:lang w:eastAsia="zh-CN"/>
              </w:rPr>
            </w:pPr>
            <w:r>
              <w:rPr>
                <w:rFonts w:hint="eastAsia" w:cs="Arial" w:asciiTheme="minorEastAsia" w:hAnsiTheme="minorEastAsia" w:eastAsiaTheme="minorEastAsia"/>
                <w:color w:val="000000"/>
                <w:kern w:val="0"/>
                <w:szCs w:val="21"/>
                <w:lang w:val="en-US" w:eastAsia="zh-CN"/>
              </w:rPr>
              <w:t>2010804</w:t>
            </w:r>
          </w:p>
        </w:tc>
        <w:tc>
          <w:tcPr>
            <w:tcW w:w="30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cs="Arial" w:asciiTheme="minorEastAsia" w:hAnsiTheme="minorEastAsia" w:eastAsiaTheme="minorEastAsia"/>
                <w:color w:val="000000"/>
                <w:kern w:val="0"/>
                <w:szCs w:val="21"/>
                <w:lang w:eastAsia="zh-CN"/>
              </w:rPr>
            </w:pPr>
            <w:r>
              <w:rPr>
                <w:rFonts w:hint="eastAsia" w:cs="Arial" w:asciiTheme="minorEastAsia" w:hAnsiTheme="minorEastAsia" w:eastAsiaTheme="minorEastAsia"/>
                <w:color w:val="000000"/>
                <w:kern w:val="0"/>
                <w:szCs w:val="21"/>
                <w:lang w:eastAsia="zh-CN"/>
              </w:rPr>
              <w:t>审计业务</w:t>
            </w:r>
          </w:p>
        </w:tc>
        <w:tc>
          <w:tcPr>
            <w:tcW w:w="281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cs="Arial" w:asciiTheme="minorEastAsia" w:hAnsiTheme="minorEastAsia" w:eastAsiaTheme="minorEastAsia"/>
                <w:color w:val="000000"/>
                <w:kern w:val="0"/>
                <w:szCs w:val="21"/>
                <w:lang w:eastAsia="zh-CN"/>
              </w:rPr>
            </w:pPr>
            <w:r>
              <w:rPr>
                <w:rFonts w:hint="eastAsia" w:cs="Arial" w:asciiTheme="minorEastAsia" w:hAnsiTheme="minorEastAsia" w:eastAsiaTheme="minorEastAsia"/>
                <w:color w:val="000000"/>
                <w:kern w:val="0"/>
                <w:szCs w:val="21"/>
                <w:lang w:val="en-US" w:eastAsia="zh-CN"/>
              </w:rPr>
              <w:t>13000</w:t>
            </w:r>
          </w:p>
        </w:tc>
        <w:tc>
          <w:tcPr>
            <w:tcW w:w="129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Calibri" w:asciiTheme="minorEastAsia" w:hAnsiTheme="minorEastAsia" w:eastAsiaTheme="minorEastAsia"/>
                <w:color w:val="000000"/>
                <w:kern w:val="0"/>
                <w:szCs w:val="21"/>
              </w:rPr>
            </w:pPr>
            <w:r>
              <w:rPr>
                <w:rFonts w:cs="Calibri" w:asciiTheme="minorEastAsia" w:hAnsiTheme="minorEastAsia" w:eastAsiaTheme="minorEastAsia"/>
                <w:color w:val="000000"/>
                <w:kern w:val="0"/>
                <w:szCs w:val="21"/>
              </w:rPr>
              <w:t>　</w:t>
            </w:r>
          </w:p>
        </w:tc>
      </w:tr>
      <w:tr>
        <w:tblPrEx>
          <w:tblLayout w:type="fixed"/>
          <w:tblCellMar>
            <w:top w:w="0" w:type="dxa"/>
            <w:left w:w="108" w:type="dxa"/>
            <w:bottom w:w="0" w:type="dxa"/>
            <w:right w:w="108" w:type="dxa"/>
          </w:tblCellMar>
        </w:tblPrEx>
        <w:trPr>
          <w:trHeight w:val="336" w:hRule="atLeast"/>
        </w:trPr>
        <w:tc>
          <w:tcPr>
            <w:tcW w:w="1948" w:type="dxa"/>
            <w:vMerge w:val="continue"/>
            <w:tcBorders>
              <w:top w:val="nil"/>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Cs w:val="21"/>
              </w:rPr>
            </w:pPr>
          </w:p>
        </w:tc>
        <w:tc>
          <w:tcPr>
            <w:tcW w:w="3057" w:type="dxa"/>
            <w:vMerge w:val="continue"/>
            <w:tcBorders>
              <w:top w:val="nil"/>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Cs w:val="21"/>
              </w:rPr>
            </w:pPr>
          </w:p>
        </w:tc>
        <w:tc>
          <w:tcPr>
            <w:tcW w:w="2813" w:type="dxa"/>
            <w:vMerge w:val="continue"/>
            <w:tcBorders>
              <w:top w:val="nil"/>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color w:val="000000"/>
                <w:kern w:val="0"/>
                <w:szCs w:val="21"/>
              </w:rPr>
            </w:pPr>
          </w:p>
        </w:tc>
        <w:tc>
          <w:tcPr>
            <w:tcW w:w="1299" w:type="dxa"/>
            <w:vMerge w:val="continue"/>
            <w:tcBorders>
              <w:top w:val="nil"/>
              <w:left w:val="single" w:color="auto" w:sz="4" w:space="0"/>
              <w:bottom w:val="single" w:color="auto" w:sz="4" w:space="0"/>
              <w:right w:val="single" w:color="auto" w:sz="4" w:space="0"/>
            </w:tcBorders>
            <w:vAlign w:val="center"/>
          </w:tcPr>
          <w:p>
            <w:pPr>
              <w:widowControl/>
              <w:jc w:val="left"/>
              <w:rPr>
                <w:rFonts w:cs="Calibri" w:asciiTheme="minorEastAsia" w:hAnsiTheme="minorEastAsia" w:eastAsiaTheme="minorEastAsia"/>
                <w:color w:val="000000"/>
                <w:kern w:val="0"/>
                <w:szCs w:val="21"/>
              </w:rPr>
            </w:pPr>
          </w:p>
        </w:tc>
      </w:tr>
      <w:tr>
        <w:tblPrEx>
          <w:tblLayout w:type="fixed"/>
          <w:tblCellMar>
            <w:top w:w="0" w:type="dxa"/>
            <w:left w:w="108" w:type="dxa"/>
            <w:bottom w:w="0" w:type="dxa"/>
            <w:right w:w="108" w:type="dxa"/>
          </w:tblCellMar>
        </w:tblPrEx>
        <w:trPr>
          <w:trHeight w:val="323" w:hRule="atLeast"/>
        </w:trPr>
        <w:tc>
          <w:tcPr>
            <w:tcW w:w="1948" w:type="dxa"/>
            <w:tcBorders>
              <w:top w:val="nil"/>
              <w:left w:val="single" w:color="000000" w:sz="8" w:space="0"/>
              <w:bottom w:val="single" w:color="auto" w:sz="8" w:space="0"/>
              <w:right w:val="single" w:color="000000" w:sz="8" w:space="0"/>
            </w:tcBorders>
            <w:shd w:val="clear" w:color="000000"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3057" w:type="dxa"/>
            <w:tcBorders>
              <w:top w:val="nil"/>
              <w:left w:val="nil"/>
              <w:bottom w:val="single" w:color="auto" w:sz="8" w:space="0"/>
              <w:right w:val="single" w:color="auto" w:sz="8" w:space="0"/>
            </w:tcBorders>
            <w:shd w:val="clear" w:color="000000" w:fill="FFFFFF"/>
            <w:vAlign w:val="center"/>
          </w:tcPr>
          <w:p>
            <w:pPr>
              <w:widowControl/>
              <w:jc w:val="center"/>
              <w:rPr>
                <w:rFonts w:cs="Calibri" w:asciiTheme="minorEastAsia" w:hAnsiTheme="minorEastAsia" w:eastAsiaTheme="minorEastAsia"/>
                <w:color w:val="000000"/>
                <w:kern w:val="0"/>
                <w:szCs w:val="21"/>
              </w:rPr>
            </w:pPr>
            <w:r>
              <w:rPr>
                <w:rFonts w:cs="Calibri" w:asciiTheme="minorEastAsia" w:hAnsiTheme="minorEastAsia" w:eastAsiaTheme="minorEastAsia"/>
                <w:color w:val="000000"/>
                <w:kern w:val="0"/>
                <w:szCs w:val="21"/>
              </w:rPr>
              <w:t>　</w:t>
            </w:r>
          </w:p>
        </w:tc>
        <w:tc>
          <w:tcPr>
            <w:tcW w:w="2813" w:type="dxa"/>
            <w:tcBorders>
              <w:top w:val="nil"/>
              <w:left w:val="nil"/>
              <w:bottom w:val="single" w:color="auto" w:sz="8" w:space="0"/>
              <w:right w:val="single" w:color="auto" w:sz="8" w:space="0"/>
            </w:tcBorders>
            <w:shd w:val="clear" w:color="000000" w:fill="FFFFFF"/>
            <w:vAlign w:val="center"/>
          </w:tcPr>
          <w:p>
            <w:pPr>
              <w:widowControl/>
              <w:jc w:val="center"/>
              <w:rPr>
                <w:rFonts w:hint="eastAsia" w:cs="Arial" w:asciiTheme="minorEastAsia" w:hAnsiTheme="minorEastAsia" w:eastAsiaTheme="minorEastAsia"/>
                <w:color w:val="000000"/>
                <w:kern w:val="0"/>
                <w:szCs w:val="21"/>
                <w:lang w:eastAsia="zh-CN"/>
              </w:rPr>
            </w:pPr>
            <w:r>
              <w:rPr>
                <w:rFonts w:hint="eastAsia" w:cs="Arial" w:asciiTheme="minorEastAsia" w:hAnsiTheme="minorEastAsia" w:eastAsiaTheme="minorEastAsia"/>
                <w:color w:val="000000"/>
                <w:kern w:val="0"/>
                <w:szCs w:val="21"/>
                <w:lang w:val="en-US" w:eastAsia="zh-CN"/>
              </w:rPr>
              <w:t>13000</w:t>
            </w:r>
          </w:p>
        </w:tc>
        <w:tc>
          <w:tcPr>
            <w:tcW w:w="1299" w:type="dxa"/>
            <w:tcBorders>
              <w:top w:val="nil"/>
              <w:left w:val="nil"/>
              <w:bottom w:val="single" w:color="auto" w:sz="8" w:space="0"/>
              <w:right w:val="single" w:color="auto" w:sz="8" w:space="0"/>
            </w:tcBorders>
            <w:shd w:val="clear" w:color="000000" w:fill="FFFFFF"/>
            <w:vAlign w:val="center"/>
          </w:tcPr>
          <w:p>
            <w:pPr>
              <w:widowControl/>
              <w:jc w:val="center"/>
              <w:rPr>
                <w:rFonts w:cs="Calibri" w:asciiTheme="minorEastAsia" w:hAnsiTheme="minorEastAsia" w:eastAsiaTheme="minorEastAsia"/>
                <w:color w:val="000000"/>
                <w:kern w:val="0"/>
                <w:szCs w:val="21"/>
              </w:rPr>
            </w:pPr>
            <w:r>
              <w:rPr>
                <w:rFonts w:cs="Calibri" w:asciiTheme="minorEastAsia" w:hAnsiTheme="minorEastAsia" w:eastAsiaTheme="minorEastAsia"/>
                <w:color w:val="000000"/>
                <w:kern w:val="0"/>
                <w:szCs w:val="21"/>
              </w:rPr>
              <w:t>　</w:t>
            </w:r>
          </w:p>
        </w:tc>
      </w:tr>
    </w:tbl>
    <w:p>
      <w:pPr>
        <w:pStyle w:val="13"/>
        <w:spacing w:line="360" w:lineRule="auto"/>
        <w:ind w:left="811" w:firstLine="0" w:firstLineChars="0"/>
        <w:jc w:val="left"/>
        <w:rPr>
          <w:rFonts w:asciiTheme="minorEastAsia" w:hAnsiTheme="minorEastAsia" w:eastAsiaTheme="minorEastAsia"/>
          <w:sz w:val="32"/>
          <w:szCs w:val="32"/>
        </w:rPr>
      </w:pPr>
    </w:p>
    <w:p>
      <w:pPr>
        <w:spacing w:line="360" w:lineRule="auto"/>
        <w:ind w:firstLine="482" w:firstLineChars="150"/>
        <w:jc w:val="left"/>
        <w:rPr>
          <w:rFonts w:asciiTheme="minorEastAsia" w:hAnsiTheme="minorEastAsia" w:eastAsiaTheme="minorEastAsia"/>
          <w:b/>
          <w:sz w:val="32"/>
          <w:szCs w:val="32"/>
        </w:rPr>
      </w:pPr>
      <w:r>
        <w:rPr>
          <w:rFonts w:hint="eastAsia" w:asciiTheme="minorEastAsia" w:hAnsiTheme="minorEastAsia" w:eastAsiaTheme="minorEastAsia"/>
          <w:b/>
          <w:sz w:val="32"/>
          <w:szCs w:val="32"/>
        </w:rPr>
        <w:t>（三）资产情况说明</w:t>
      </w:r>
    </w:p>
    <w:p>
      <w:pPr>
        <w:spacing w:line="360" w:lineRule="auto"/>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1.资产结构分析</w:t>
      </w:r>
    </w:p>
    <w:p>
      <w:pPr>
        <w:spacing w:line="360" w:lineRule="auto"/>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资产总计</w:t>
      </w:r>
      <w:r>
        <w:rPr>
          <w:rFonts w:hint="eastAsia" w:asciiTheme="minorEastAsia" w:hAnsiTheme="minorEastAsia" w:eastAsiaTheme="minorEastAsia"/>
          <w:sz w:val="32"/>
          <w:szCs w:val="32"/>
          <w:lang w:val="en-US" w:eastAsia="zh-CN"/>
        </w:rPr>
        <w:t>195.41</w:t>
      </w:r>
      <w:r>
        <w:rPr>
          <w:rFonts w:hint="eastAsia" w:asciiTheme="minorEastAsia" w:hAnsiTheme="minorEastAsia" w:eastAsiaTheme="minorEastAsia"/>
          <w:sz w:val="32"/>
          <w:szCs w:val="32"/>
        </w:rPr>
        <w:t>万元，其中流动资产</w:t>
      </w:r>
      <w:r>
        <w:rPr>
          <w:rFonts w:hint="eastAsia" w:asciiTheme="minorEastAsia" w:hAnsiTheme="minorEastAsia" w:eastAsiaTheme="minorEastAsia"/>
          <w:sz w:val="32"/>
          <w:szCs w:val="32"/>
          <w:lang w:val="en-US" w:eastAsia="zh-CN"/>
        </w:rPr>
        <w:t>4.64</w:t>
      </w:r>
      <w:r>
        <w:rPr>
          <w:rFonts w:hint="eastAsia" w:asciiTheme="minorEastAsia" w:hAnsiTheme="minorEastAsia" w:eastAsiaTheme="minorEastAsia"/>
          <w:sz w:val="32"/>
          <w:szCs w:val="32"/>
        </w:rPr>
        <w:t>万元，占总资产的</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%，固定资产</w:t>
      </w:r>
      <w:r>
        <w:rPr>
          <w:rFonts w:hint="eastAsia" w:asciiTheme="minorEastAsia" w:hAnsiTheme="minorEastAsia" w:eastAsiaTheme="minorEastAsia"/>
          <w:sz w:val="32"/>
          <w:szCs w:val="32"/>
          <w:lang w:val="en-US" w:eastAsia="zh-CN"/>
        </w:rPr>
        <w:t>190.77</w:t>
      </w:r>
      <w:r>
        <w:rPr>
          <w:rFonts w:hint="eastAsia" w:asciiTheme="minorEastAsia" w:hAnsiTheme="minorEastAsia" w:eastAsiaTheme="minorEastAsia"/>
          <w:sz w:val="32"/>
          <w:szCs w:val="32"/>
        </w:rPr>
        <w:t>万元，占总资产</w:t>
      </w:r>
      <w:r>
        <w:rPr>
          <w:rFonts w:hint="eastAsia" w:asciiTheme="minorEastAsia" w:hAnsiTheme="minorEastAsia" w:eastAsiaTheme="minorEastAsia"/>
          <w:sz w:val="32"/>
          <w:szCs w:val="32"/>
          <w:lang w:val="en-US" w:eastAsia="zh-CN"/>
        </w:rPr>
        <w:t>98</w:t>
      </w:r>
      <w:r>
        <w:rPr>
          <w:rFonts w:hint="eastAsia" w:asciiTheme="minorEastAsia" w:hAnsiTheme="minorEastAsia" w:eastAsiaTheme="minorEastAsia"/>
          <w:sz w:val="32"/>
          <w:szCs w:val="32"/>
        </w:rPr>
        <w:t>%。</w:t>
      </w:r>
      <w:r>
        <w:drawing>
          <wp:inline distT="0" distB="0" distL="114300" distR="114300">
            <wp:extent cx="4572000" cy="2743200"/>
            <wp:effectExtent l="4445" t="4445" r="14605" b="14605"/>
            <wp:docPr id="103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360" w:lineRule="auto"/>
        <w:ind w:left="237" w:leftChars="113"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
          <w:szCs w:val="21"/>
        </w:rPr>
        <w:t>图表10资产结构分析图  单位：万元</w:t>
      </w:r>
    </w:p>
    <w:p>
      <w:pPr>
        <w:spacing w:line="360" w:lineRule="auto"/>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2.固定资产结构分析</w:t>
      </w:r>
    </w:p>
    <w:p>
      <w:pPr>
        <w:spacing w:line="360" w:lineRule="auto"/>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固定资产中房屋</w:t>
      </w:r>
      <w:r>
        <w:rPr>
          <w:rFonts w:hint="eastAsia" w:asciiTheme="minorEastAsia" w:hAnsiTheme="minorEastAsia" w:eastAsiaTheme="minorEastAsia"/>
          <w:sz w:val="32"/>
          <w:szCs w:val="32"/>
          <w:lang w:val="en-US" w:eastAsia="zh-CN"/>
        </w:rPr>
        <w:t>59.92</w:t>
      </w:r>
      <w:r>
        <w:rPr>
          <w:rFonts w:hint="eastAsia" w:asciiTheme="minorEastAsia" w:hAnsiTheme="minorEastAsia" w:eastAsiaTheme="minorEastAsia"/>
          <w:sz w:val="32"/>
          <w:szCs w:val="32"/>
        </w:rPr>
        <w:t>万元，占固定资产的</w:t>
      </w:r>
      <w:r>
        <w:rPr>
          <w:rFonts w:hint="eastAsia" w:asciiTheme="minorEastAsia" w:hAnsiTheme="minorEastAsia" w:eastAsiaTheme="minorEastAsia"/>
          <w:sz w:val="32"/>
          <w:szCs w:val="32"/>
          <w:lang w:val="en-US" w:eastAsia="zh-CN"/>
        </w:rPr>
        <w:t>31</w:t>
      </w:r>
      <w:r>
        <w:rPr>
          <w:rFonts w:hint="eastAsia" w:asciiTheme="minorEastAsia" w:hAnsiTheme="minorEastAsia" w:eastAsiaTheme="minorEastAsia"/>
          <w:sz w:val="32"/>
          <w:szCs w:val="32"/>
        </w:rPr>
        <w:t>%；汽车</w:t>
      </w:r>
      <w:r>
        <w:rPr>
          <w:rFonts w:hint="eastAsia" w:asciiTheme="minorEastAsia" w:hAnsiTheme="minorEastAsia" w:eastAsiaTheme="minorEastAsia"/>
          <w:sz w:val="32"/>
          <w:szCs w:val="32"/>
          <w:lang w:val="en-US" w:eastAsia="zh-CN"/>
        </w:rPr>
        <w:t>56.44</w:t>
      </w:r>
      <w:r>
        <w:rPr>
          <w:rFonts w:hint="eastAsia" w:asciiTheme="minorEastAsia" w:hAnsiTheme="minorEastAsia" w:eastAsiaTheme="minorEastAsia"/>
          <w:sz w:val="32"/>
          <w:szCs w:val="32"/>
        </w:rPr>
        <w:t>万元，占固定资产的</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%；其他固定资产</w:t>
      </w:r>
      <w:r>
        <w:rPr>
          <w:rFonts w:hint="eastAsia" w:asciiTheme="minorEastAsia" w:hAnsiTheme="minorEastAsia" w:eastAsiaTheme="minorEastAsia"/>
          <w:sz w:val="32"/>
          <w:szCs w:val="32"/>
          <w:lang w:val="en-US" w:eastAsia="zh-CN"/>
        </w:rPr>
        <w:t>74.41</w:t>
      </w:r>
      <w:r>
        <w:rPr>
          <w:rFonts w:hint="eastAsia" w:asciiTheme="minorEastAsia" w:hAnsiTheme="minorEastAsia" w:eastAsiaTheme="minorEastAsia"/>
          <w:sz w:val="32"/>
          <w:szCs w:val="32"/>
        </w:rPr>
        <w:t>万元，占固定资产的</w:t>
      </w: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%。其他固定资产是办公设备及专用设备。</w:t>
      </w:r>
    </w:p>
    <w:p>
      <w:pPr>
        <w:spacing w:line="360" w:lineRule="auto"/>
        <w:ind w:left="360"/>
        <w:jc w:val="left"/>
        <w:rPr>
          <w:rFonts w:asciiTheme="minorEastAsia" w:hAnsiTheme="minorEastAsia" w:eastAsiaTheme="minorEastAsia"/>
          <w:szCs w:val="21"/>
        </w:rPr>
      </w:pPr>
      <w:r>
        <w:drawing>
          <wp:inline distT="0" distB="0" distL="114300" distR="114300">
            <wp:extent cx="5295265" cy="2743200"/>
            <wp:effectExtent l="4445" t="4445" r="15240" b="14605"/>
            <wp:docPr id="104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
          <w:szCs w:val="21"/>
        </w:rPr>
        <w:t>图表11 固定资产结构分析图  单位：万元</w:t>
      </w:r>
    </w:p>
    <w:p>
      <w:pPr>
        <w:widowControl/>
        <w:ind w:left="160" w:leftChars="76" w:firstLine="643" w:firstLineChars="200"/>
        <w:jc w:val="left"/>
        <w:rPr>
          <w:rFonts w:asciiTheme="minorEastAsia" w:hAnsiTheme="minorEastAsia" w:eastAsiaTheme="minorEastAsia"/>
          <w:sz w:val="32"/>
          <w:szCs w:val="32"/>
        </w:rPr>
      </w:pPr>
      <w:r>
        <w:rPr>
          <w:rFonts w:hint="eastAsia" w:asciiTheme="minorEastAsia" w:hAnsiTheme="minorEastAsia" w:eastAsiaTheme="minorEastAsia"/>
          <w:b/>
          <w:sz w:val="32"/>
          <w:szCs w:val="32"/>
        </w:rPr>
        <w:t>三、</w:t>
      </w:r>
      <w:r>
        <w:rPr>
          <w:rFonts w:asciiTheme="minorEastAsia" w:hAnsiTheme="minorEastAsia" w:eastAsiaTheme="minorEastAsia"/>
          <w:b/>
          <w:sz w:val="32"/>
          <w:szCs w:val="32"/>
        </w:rPr>
        <w:t>决算编制改进建议</w:t>
      </w:r>
      <w:r>
        <w:rPr>
          <w:rFonts w:cs="宋体" w:asciiTheme="minorEastAsia" w:hAnsiTheme="minorEastAsia" w:eastAsiaTheme="minorEastAsia"/>
          <w:kern w:val="0"/>
          <w:sz w:val="24"/>
        </w:rPr>
        <w:br w:type="textWrapping"/>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1、积极稳妥地推进财政管理改革，构筑安全高效便捷的财政资金运行体系</w:t>
      </w:r>
      <w:r>
        <w:rPr>
          <w:rFonts w:hint="eastAsia" w:asciiTheme="minorEastAsia" w:hAnsiTheme="minorEastAsia" w:eastAsiaTheme="minorEastAsia"/>
          <w:sz w:val="32"/>
          <w:szCs w:val="32"/>
        </w:rPr>
        <w:t>。</w:t>
      </w:r>
    </w:p>
    <w:p>
      <w:pPr>
        <w:widowControl/>
        <w:ind w:firstLine="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2、加强</w:t>
      </w:r>
      <w:r>
        <w:rPr>
          <w:rFonts w:hint="eastAsia" w:asciiTheme="minorEastAsia" w:hAnsiTheme="minorEastAsia" w:eastAsiaTheme="minorEastAsia"/>
          <w:sz w:val="32"/>
          <w:szCs w:val="32"/>
          <w:lang w:eastAsia="zh-CN"/>
        </w:rPr>
        <w:t>财务</w:t>
      </w:r>
      <w:r>
        <w:rPr>
          <w:rFonts w:asciiTheme="minorEastAsia" w:hAnsiTheme="minorEastAsia" w:eastAsiaTheme="minorEastAsia"/>
          <w:sz w:val="32"/>
          <w:szCs w:val="32"/>
        </w:rPr>
        <w:t>基础管理工作，提高预算执行力。高度重视部门决算编制中所反映出来的预算执行过程中存在的问题，在日常基础管理工作中加以改进和调整，严格执行预算，增强预算执行刚性，细化基本支出和项目支出的划分。</w:t>
      </w:r>
    </w:p>
    <w:p>
      <w:pPr>
        <w:widowControl/>
        <w:ind w:firstLine="200"/>
        <w:jc w:val="left"/>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3、加强财务管理业务培训工作，提高财务管理水平。对财务从业人员开展有关职业道德修养、会计诚信建设、财经法律、法规、会计制度和现代信息技术应用的培训，不断提高财务从业人员的学习能力和工作能力，树立推崇“诚实守信，坚持原则，操守为重，不做假账”的职业道德，提高自觉遵守和维护财经法律尊严的能力，大力加强现代适用信息技术的应用能力，切实提高依法理财和现代化理财水平。</w:t>
      </w:r>
    </w:p>
    <w:p>
      <w:pPr>
        <w:widowControl/>
        <w:ind w:firstLine="200"/>
        <w:jc w:val="left"/>
        <w:rPr>
          <w:rFonts w:cs="宋体" w:asciiTheme="minorEastAsia" w:hAnsiTheme="minorEastAsia" w:eastAsiaTheme="minorEastAsia"/>
          <w:kern w:val="0"/>
          <w:sz w:val="24"/>
        </w:rPr>
      </w:pP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4、实现财务公开、透明化。</w:t>
      </w:r>
    </w:p>
    <w:p>
      <w:pPr>
        <w:spacing w:before="240" w:line="360" w:lineRule="auto"/>
        <w:ind w:left="425" w:leftChars="50" w:hanging="320" w:hangingChars="100"/>
        <w:jc w:val="center"/>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w:t>
      </w:r>
    </w:p>
    <w:p>
      <w:pPr>
        <w:spacing w:before="240" w:line="360" w:lineRule="auto"/>
        <w:ind w:left="425" w:leftChars="50" w:hanging="320" w:hanging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lang w:eastAsia="zh-CN"/>
        </w:rPr>
        <w:t>新平县审计局</w:t>
      </w:r>
    </w:p>
    <w:p>
      <w:pPr>
        <w:spacing w:before="240" w:line="360" w:lineRule="auto"/>
        <w:ind w:firstLine="630"/>
        <w:jc w:val="righ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二○一七年一月</w:t>
      </w:r>
      <w:r>
        <w:rPr>
          <w:rFonts w:hint="eastAsia" w:asciiTheme="minorEastAsia" w:hAnsiTheme="minorEastAsia" w:eastAsiaTheme="minorEastAsia"/>
          <w:sz w:val="32"/>
          <w:szCs w:val="32"/>
          <w:lang w:eastAsia="zh-CN"/>
        </w:rPr>
        <w:t>二十一</w:t>
      </w:r>
      <w:r>
        <w:rPr>
          <w:rFonts w:hint="eastAsia" w:asciiTheme="minorEastAsia" w:hAnsiTheme="minorEastAsia" w:eastAsiaTheme="minorEastAsia"/>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03992"/>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5531F"/>
    <w:multiLevelType w:val="multilevel"/>
    <w:tmpl w:val="1DC5531F"/>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1">
    <w:nsid w:val="2EA36A17"/>
    <w:multiLevelType w:val="multilevel"/>
    <w:tmpl w:val="2EA36A17"/>
    <w:lvl w:ilvl="0" w:tentative="0">
      <w:start w:val="1"/>
      <w:numFmt w:val="decimal"/>
      <w:lvlText w:val="%1."/>
      <w:lvlJc w:val="left"/>
      <w:pPr>
        <w:ind w:left="811" w:hanging="360"/>
      </w:pPr>
      <w:rPr>
        <w:rFonts w:hint="default"/>
      </w:rPr>
    </w:lvl>
    <w:lvl w:ilvl="1" w:tentative="0">
      <w:start w:val="1"/>
      <w:numFmt w:val="lowerLetter"/>
      <w:lvlText w:val="%2)"/>
      <w:lvlJc w:val="left"/>
      <w:pPr>
        <w:ind w:left="1291" w:hanging="420"/>
      </w:pPr>
    </w:lvl>
    <w:lvl w:ilvl="2" w:tentative="0">
      <w:start w:val="1"/>
      <w:numFmt w:val="lowerRoman"/>
      <w:lvlText w:val="%3."/>
      <w:lvlJc w:val="right"/>
      <w:pPr>
        <w:ind w:left="1711" w:hanging="420"/>
      </w:pPr>
    </w:lvl>
    <w:lvl w:ilvl="3" w:tentative="0">
      <w:start w:val="1"/>
      <w:numFmt w:val="decimal"/>
      <w:lvlText w:val="%4."/>
      <w:lvlJc w:val="left"/>
      <w:pPr>
        <w:ind w:left="2131" w:hanging="420"/>
      </w:pPr>
    </w:lvl>
    <w:lvl w:ilvl="4" w:tentative="0">
      <w:start w:val="1"/>
      <w:numFmt w:val="lowerLetter"/>
      <w:lvlText w:val="%5)"/>
      <w:lvlJc w:val="left"/>
      <w:pPr>
        <w:ind w:left="2551" w:hanging="420"/>
      </w:pPr>
    </w:lvl>
    <w:lvl w:ilvl="5" w:tentative="0">
      <w:start w:val="1"/>
      <w:numFmt w:val="lowerRoman"/>
      <w:lvlText w:val="%6."/>
      <w:lvlJc w:val="right"/>
      <w:pPr>
        <w:ind w:left="2971" w:hanging="420"/>
      </w:pPr>
    </w:lvl>
    <w:lvl w:ilvl="6" w:tentative="0">
      <w:start w:val="1"/>
      <w:numFmt w:val="decimal"/>
      <w:lvlText w:val="%7."/>
      <w:lvlJc w:val="left"/>
      <w:pPr>
        <w:ind w:left="3391" w:hanging="420"/>
      </w:pPr>
    </w:lvl>
    <w:lvl w:ilvl="7" w:tentative="0">
      <w:start w:val="1"/>
      <w:numFmt w:val="lowerLetter"/>
      <w:lvlText w:val="%8)"/>
      <w:lvlJc w:val="left"/>
      <w:pPr>
        <w:ind w:left="3811" w:hanging="420"/>
      </w:pPr>
    </w:lvl>
    <w:lvl w:ilvl="8" w:tentative="0">
      <w:start w:val="1"/>
      <w:numFmt w:val="lowerRoman"/>
      <w:lvlText w:val="%9."/>
      <w:lvlJc w:val="right"/>
      <w:pPr>
        <w:ind w:left="4231" w:hanging="420"/>
      </w:pPr>
    </w:lvl>
  </w:abstractNum>
  <w:abstractNum w:abstractNumId="2">
    <w:nsid w:val="65261EE9"/>
    <w:multiLevelType w:val="multilevel"/>
    <w:tmpl w:val="65261EE9"/>
    <w:lvl w:ilvl="0" w:tentative="0">
      <w:start w:val="1"/>
      <w:numFmt w:val="japaneseCounting"/>
      <w:lvlText w:val="%1、"/>
      <w:lvlJc w:val="left"/>
      <w:pPr>
        <w:ind w:left="2138"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725D2068"/>
    <w:multiLevelType w:val="multilevel"/>
    <w:tmpl w:val="725D2068"/>
    <w:lvl w:ilvl="0" w:tentative="0">
      <w:start w:val="1"/>
      <w:numFmt w:val="japaneseCounting"/>
      <w:lvlText w:val="（%1）"/>
      <w:lvlJc w:val="left"/>
      <w:pPr>
        <w:ind w:left="1647" w:hanging="108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6210F"/>
    <w:rsid w:val="00000353"/>
    <w:rsid w:val="00015A75"/>
    <w:rsid w:val="000218DB"/>
    <w:rsid w:val="00027617"/>
    <w:rsid w:val="000350A2"/>
    <w:rsid w:val="00036ED9"/>
    <w:rsid w:val="00037D1E"/>
    <w:rsid w:val="0005364B"/>
    <w:rsid w:val="00060A08"/>
    <w:rsid w:val="000617FB"/>
    <w:rsid w:val="0006207B"/>
    <w:rsid w:val="0006361F"/>
    <w:rsid w:val="00065C9C"/>
    <w:rsid w:val="00076335"/>
    <w:rsid w:val="000769AE"/>
    <w:rsid w:val="000A2F7D"/>
    <w:rsid w:val="000A48B8"/>
    <w:rsid w:val="000A5DE9"/>
    <w:rsid w:val="000B21F5"/>
    <w:rsid w:val="000B705F"/>
    <w:rsid w:val="000C5642"/>
    <w:rsid w:val="000C5A69"/>
    <w:rsid w:val="000D5344"/>
    <w:rsid w:val="000E46FA"/>
    <w:rsid w:val="00120267"/>
    <w:rsid w:val="00125F2D"/>
    <w:rsid w:val="00131A1F"/>
    <w:rsid w:val="00133100"/>
    <w:rsid w:val="001332EB"/>
    <w:rsid w:val="00136291"/>
    <w:rsid w:val="00142437"/>
    <w:rsid w:val="001425EA"/>
    <w:rsid w:val="00153864"/>
    <w:rsid w:val="00156556"/>
    <w:rsid w:val="00161310"/>
    <w:rsid w:val="001636C0"/>
    <w:rsid w:val="00165130"/>
    <w:rsid w:val="001651B5"/>
    <w:rsid w:val="0017204A"/>
    <w:rsid w:val="001731EA"/>
    <w:rsid w:val="00197CC2"/>
    <w:rsid w:val="001B6B4D"/>
    <w:rsid w:val="001C653A"/>
    <w:rsid w:val="001D1526"/>
    <w:rsid w:val="001D756F"/>
    <w:rsid w:val="001E6BBB"/>
    <w:rsid w:val="002062C3"/>
    <w:rsid w:val="00210F6D"/>
    <w:rsid w:val="002210A7"/>
    <w:rsid w:val="00253538"/>
    <w:rsid w:val="00253CE3"/>
    <w:rsid w:val="00255876"/>
    <w:rsid w:val="00255EF3"/>
    <w:rsid w:val="0026717D"/>
    <w:rsid w:val="00276238"/>
    <w:rsid w:val="00295D88"/>
    <w:rsid w:val="002A2565"/>
    <w:rsid w:val="002A2E11"/>
    <w:rsid w:val="002A2F11"/>
    <w:rsid w:val="002B0E34"/>
    <w:rsid w:val="002B48D7"/>
    <w:rsid w:val="002C2288"/>
    <w:rsid w:val="002C3D0D"/>
    <w:rsid w:val="002C5D9C"/>
    <w:rsid w:val="002F30F5"/>
    <w:rsid w:val="002F49B0"/>
    <w:rsid w:val="002F4FB1"/>
    <w:rsid w:val="002F66E5"/>
    <w:rsid w:val="002F6D55"/>
    <w:rsid w:val="00307992"/>
    <w:rsid w:val="003143EC"/>
    <w:rsid w:val="003322E7"/>
    <w:rsid w:val="003366A8"/>
    <w:rsid w:val="0034055C"/>
    <w:rsid w:val="00344DAF"/>
    <w:rsid w:val="003528DB"/>
    <w:rsid w:val="00357695"/>
    <w:rsid w:val="00357DA8"/>
    <w:rsid w:val="003621A9"/>
    <w:rsid w:val="0036664E"/>
    <w:rsid w:val="00370374"/>
    <w:rsid w:val="003727F7"/>
    <w:rsid w:val="00372CC4"/>
    <w:rsid w:val="003744D9"/>
    <w:rsid w:val="003A3A12"/>
    <w:rsid w:val="003D3021"/>
    <w:rsid w:val="003E67E1"/>
    <w:rsid w:val="003E699A"/>
    <w:rsid w:val="003F50FF"/>
    <w:rsid w:val="003F6891"/>
    <w:rsid w:val="00404144"/>
    <w:rsid w:val="004042F1"/>
    <w:rsid w:val="0041463D"/>
    <w:rsid w:val="004208FF"/>
    <w:rsid w:val="00434405"/>
    <w:rsid w:val="004433BF"/>
    <w:rsid w:val="0044583D"/>
    <w:rsid w:val="004506D6"/>
    <w:rsid w:val="0046344A"/>
    <w:rsid w:val="00464A50"/>
    <w:rsid w:val="00467DAE"/>
    <w:rsid w:val="00476C32"/>
    <w:rsid w:val="00480B7F"/>
    <w:rsid w:val="00484716"/>
    <w:rsid w:val="004A1BE6"/>
    <w:rsid w:val="004B1C3F"/>
    <w:rsid w:val="004B2842"/>
    <w:rsid w:val="004B5C05"/>
    <w:rsid w:val="004B5F0C"/>
    <w:rsid w:val="004D1150"/>
    <w:rsid w:val="004D4C77"/>
    <w:rsid w:val="004D6807"/>
    <w:rsid w:val="004E64E9"/>
    <w:rsid w:val="004F07A3"/>
    <w:rsid w:val="005066F3"/>
    <w:rsid w:val="005115C9"/>
    <w:rsid w:val="00513152"/>
    <w:rsid w:val="00513F60"/>
    <w:rsid w:val="00521262"/>
    <w:rsid w:val="00523791"/>
    <w:rsid w:val="005366E6"/>
    <w:rsid w:val="00545807"/>
    <w:rsid w:val="00550D58"/>
    <w:rsid w:val="00553572"/>
    <w:rsid w:val="00562344"/>
    <w:rsid w:val="0057213E"/>
    <w:rsid w:val="00572850"/>
    <w:rsid w:val="00581E52"/>
    <w:rsid w:val="0058206B"/>
    <w:rsid w:val="005826E6"/>
    <w:rsid w:val="005832A5"/>
    <w:rsid w:val="00594693"/>
    <w:rsid w:val="005A0779"/>
    <w:rsid w:val="005A27D3"/>
    <w:rsid w:val="005A7119"/>
    <w:rsid w:val="005C677A"/>
    <w:rsid w:val="005D1CC1"/>
    <w:rsid w:val="005E04B4"/>
    <w:rsid w:val="00605DED"/>
    <w:rsid w:val="00606E21"/>
    <w:rsid w:val="00622D69"/>
    <w:rsid w:val="00652E2B"/>
    <w:rsid w:val="00657998"/>
    <w:rsid w:val="006628C2"/>
    <w:rsid w:val="00664998"/>
    <w:rsid w:val="00685876"/>
    <w:rsid w:val="00694086"/>
    <w:rsid w:val="006A187C"/>
    <w:rsid w:val="006A6A22"/>
    <w:rsid w:val="006C3459"/>
    <w:rsid w:val="006E0594"/>
    <w:rsid w:val="006E1788"/>
    <w:rsid w:val="006E3005"/>
    <w:rsid w:val="006E3E9A"/>
    <w:rsid w:val="006E3F57"/>
    <w:rsid w:val="006F0245"/>
    <w:rsid w:val="006F16DE"/>
    <w:rsid w:val="006F6C63"/>
    <w:rsid w:val="006F70F7"/>
    <w:rsid w:val="00700E2A"/>
    <w:rsid w:val="007138EF"/>
    <w:rsid w:val="00716EF6"/>
    <w:rsid w:val="00740965"/>
    <w:rsid w:val="007444FE"/>
    <w:rsid w:val="007517C6"/>
    <w:rsid w:val="007610FA"/>
    <w:rsid w:val="00761F2C"/>
    <w:rsid w:val="00772496"/>
    <w:rsid w:val="007805C3"/>
    <w:rsid w:val="00787C61"/>
    <w:rsid w:val="0079566D"/>
    <w:rsid w:val="00796253"/>
    <w:rsid w:val="007A017B"/>
    <w:rsid w:val="007A554D"/>
    <w:rsid w:val="007B399C"/>
    <w:rsid w:val="007B5038"/>
    <w:rsid w:val="007B71E7"/>
    <w:rsid w:val="007B7598"/>
    <w:rsid w:val="007C36CD"/>
    <w:rsid w:val="007D5B5F"/>
    <w:rsid w:val="007E2851"/>
    <w:rsid w:val="007E7507"/>
    <w:rsid w:val="007F4DD5"/>
    <w:rsid w:val="007F61B5"/>
    <w:rsid w:val="008112C0"/>
    <w:rsid w:val="00816727"/>
    <w:rsid w:val="00823F2E"/>
    <w:rsid w:val="008253E2"/>
    <w:rsid w:val="00826730"/>
    <w:rsid w:val="008519E7"/>
    <w:rsid w:val="00851D2A"/>
    <w:rsid w:val="00852256"/>
    <w:rsid w:val="0086229B"/>
    <w:rsid w:val="00863559"/>
    <w:rsid w:val="00884DB1"/>
    <w:rsid w:val="00897B80"/>
    <w:rsid w:val="00897F39"/>
    <w:rsid w:val="008A2941"/>
    <w:rsid w:val="008B3314"/>
    <w:rsid w:val="008B6685"/>
    <w:rsid w:val="008B6E13"/>
    <w:rsid w:val="008C3B7C"/>
    <w:rsid w:val="008C4EF5"/>
    <w:rsid w:val="008C6E07"/>
    <w:rsid w:val="008D1C81"/>
    <w:rsid w:val="008D41E4"/>
    <w:rsid w:val="008D4871"/>
    <w:rsid w:val="008F7956"/>
    <w:rsid w:val="0090351B"/>
    <w:rsid w:val="00905947"/>
    <w:rsid w:val="00915E41"/>
    <w:rsid w:val="00921E2D"/>
    <w:rsid w:val="0093066A"/>
    <w:rsid w:val="00935FF6"/>
    <w:rsid w:val="00943CC9"/>
    <w:rsid w:val="00945297"/>
    <w:rsid w:val="00946CAF"/>
    <w:rsid w:val="00961B39"/>
    <w:rsid w:val="00963E72"/>
    <w:rsid w:val="00966A08"/>
    <w:rsid w:val="0097165E"/>
    <w:rsid w:val="00983C3F"/>
    <w:rsid w:val="00983C47"/>
    <w:rsid w:val="00990065"/>
    <w:rsid w:val="00993483"/>
    <w:rsid w:val="009A1C4A"/>
    <w:rsid w:val="009A263D"/>
    <w:rsid w:val="009B1A5D"/>
    <w:rsid w:val="009B32AD"/>
    <w:rsid w:val="009B429D"/>
    <w:rsid w:val="009B7A48"/>
    <w:rsid w:val="009C3479"/>
    <w:rsid w:val="009C6C48"/>
    <w:rsid w:val="009D6337"/>
    <w:rsid w:val="009E372A"/>
    <w:rsid w:val="009F54ED"/>
    <w:rsid w:val="00A00892"/>
    <w:rsid w:val="00A03ADD"/>
    <w:rsid w:val="00A06A47"/>
    <w:rsid w:val="00A17ECB"/>
    <w:rsid w:val="00A2046B"/>
    <w:rsid w:val="00A2483E"/>
    <w:rsid w:val="00A33A76"/>
    <w:rsid w:val="00A42CDD"/>
    <w:rsid w:val="00A56BB7"/>
    <w:rsid w:val="00A63393"/>
    <w:rsid w:val="00A63997"/>
    <w:rsid w:val="00A87DE2"/>
    <w:rsid w:val="00A947FD"/>
    <w:rsid w:val="00A94D14"/>
    <w:rsid w:val="00AA44BA"/>
    <w:rsid w:val="00AB4D7A"/>
    <w:rsid w:val="00AC0B70"/>
    <w:rsid w:val="00AC30A3"/>
    <w:rsid w:val="00AC4205"/>
    <w:rsid w:val="00AC6C06"/>
    <w:rsid w:val="00AC752C"/>
    <w:rsid w:val="00AD2D12"/>
    <w:rsid w:val="00AE217A"/>
    <w:rsid w:val="00AE291B"/>
    <w:rsid w:val="00AE43DC"/>
    <w:rsid w:val="00AE6DA0"/>
    <w:rsid w:val="00AE6EAC"/>
    <w:rsid w:val="00AF5253"/>
    <w:rsid w:val="00AF7F1F"/>
    <w:rsid w:val="00B01BF4"/>
    <w:rsid w:val="00B053ED"/>
    <w:rsid w:val="00B05855"/>
    <w:rsid w:val="00B1047E"/>
    <w:rsid w:val="00B1143A"/>
    <w:rsid w:val="00B50FC4"/>
    <w:rsid w:val="00B62156"/>
    <w:rsid w:val="00B64303"/>
    <w:rsid w:val="00B7075E"/>
    <w:rsid w:val="00B7263B"/>
    <w:rsid w:val="00B767BF"/>
    <w:rsid w:val="00B8031F"/>
    <w:rsid w:val="00B82184"/>
    <w:rsid w:val="00B834C6"/>
    <w:rsid w:val="00B93270"/>
    <w:rsid w:val="00BA1F3F"/>
    <w:rsid w:val="00BB6D03"/>
    <w:rsid w:val="00BC1486"/>
    <w:rsid w:val="00BE7BFC"/>
    <w:rsid w:val="00BE7CBA"/>
    <w:rsid w:val="00C0447C"/>
    <w:rsid w:val="00C14E9F"/>
    <w:rsid w:val="00C2118E"/>
    <w:rsid w:val="00C32C72"/>
    <w:rsid w:val="00C37314"/>
    <w:rsid w:val="00C421DE"/>
    <w:rsid w:val="00C451FD"/>
    <w:rsid w:val="00C45520"/>
    <w:rsid w:val="00C52D7A"/>
    <w:rsid w:val="00C62072"/>
    <w:rsid w:val="00C6547E"/>
    <w:rsid w:val="00C67167"/>
    <w:rsid w:val="00C752D8"/>
    <w:rsid w:val="00C75663"/>
    <w:rsid w:val="00C90F39"/>
    <w:rsid w:val="00C92847"/>
    <w:rsid w:val="00CA3BB1"/>
    <w:rsid w:val="00CA43B8"/>
    <w:rsid w:val="00CB24E8"/>
    <w:rsid w:val="00CC2C2C"/>
    <w:rsid w:val="00CC5CBA"/>
    <w:rsid w:val="00CE1DED"/>
    <w:rsid w:val="00CE6842"/>
    <w:rsid w:val="00CF035B"/>
    <w:rsid w:val="00CF0644"/>
    <w:rsid w:val="00D034DC"/>
    <w:rsid w:val="00D066B9"/>
    <w:rsid w:val="00D1198D"/>
    <w:rsid w:val="00D17F3A"/>
    <w:rsid w:val="00D20367"/>
    <w:rsid w:val="00D2533C"/>
    <w:rsid w:val="00D41C90"/>
    <w:rsid w:val="00D42748"/>
    <w:rsid w:val="00D64E8F"/>
    <w:rsid w:val="00D675BB"/>
    <w:rsid w:val="00D737D2"/>
    <w:rsid w:val="00D74FA1"/>
    <w:rsid w:val="00D944F5"/>
    <w:rsid w:val="00D964E1"/>
    <w:rsid w:val="00D96CB7"/>
    <w:rsid w:val="00DA2FF9"/>
    <w:rsid w:val="00DA5741"/>
    <w:rsid w:val="00DB1A99"/>
    <w:rsid w:val="00DC1027"/>
    <w:rsid w:val="00DC48E1"/>
    <w:rsid w:val="00DC6D05"/>
    <w:rsid w:val="00DD09BD"/>
    <w:rsid w:val="00DD470C"/>
    <w:rsid w:val="00DE3ED7"/>
    <w:rsid w:val="00DF157E"/>
    <w:rsid w:val="00DF200A"/>
    <w:rsid w:val="00DF260E"/>
    <w:rsid w:val="00DF6419"/>
    <w:rsid w:val="00DF7A0A"/>
    <w:rsid w:val="00E133FE"/>
    <w:rsid w:val="00E4451B"/>
    <w:rsid w:val="00E45083"/>
    <w:rsid w:val="00E57BF1"/>
    <w:rsid w:val="00E62B03"/>
    <w:rsid w:val="00E665E5"/>
    <w:rsid w:val="00E712B1"/>
    <w:rsid w:val="00E7759F"/>
    <w:rsid w:val="00EA2C1C"/>
    <w:rsid w:val="00EA5103"/>
    <w:rsid w:val="00EB10C2"/>
    <w:rsid w:val="00EC4F89"/>
    <w:rsid w:val="00ED3008"/>
    <w:rsid w:val="00ED4B1A"/>
    <w:rsid w:val="00EE56F9"/>
    <w:rsid w:val="00EE6EFD"/>
    <w:rsid w:val="00F00B54"/>
    <w:rsid w:val="00F07C29"/>
    <w:rsid w:val="00F13845"/>
    <w:rsid w:val="00F20E5E"/>
    <w:rsid w:val="00F34EF7"/>
    <w:rsid w:val="00F41F22"/>
    <w:rsid w:val="00F44743"/>
    <w:rsid w:val="00F4660D"/>
    <w:rsid w:val="00F53CD7"/>
    <w:rsid w:val="00F57C6C"/>
    <w:rsid w:val="00F602AE"/>
    <w:rsid w:val="00F6210F"/>
    <w:rsid w:val="00F7325E"/>
    <w:rsid w:val="00F80DF3"/>
    <w:rsid w:val="00F95B98"/>
    <w:rsid w:val="00FA61BC"/>
    <w:rsid w:val="00FB5D55"/>
    <w:rsid w:val="00FC6D98"/>
    <w:rsid w:val="00FD687C"/>
    <w:rsid w:val="02FD036E"/>
    <w:rsid w:val="03460049"/>
    <w:rsid w:val="0388502C"/>
    <w:rsid w:val="03B84AA6"/>
    <w:rsid w:val="04796D3F"/>
    <w:rsid w:val="052327F7"/>
    <w:rsid w:val="05D90E80"/>
    <w:rsid w:val="0C122925"/>
    <w:rsid w:val="0CE10323"/>
    <w:rsid w:val="0F186096"/>
    <w:rsid w:val="16487296"/>
    <w:rsid w:val="1DCB0B38"/>
    <w:rsid w:val="238A5145"/>
    <w:rsid w:val="2825464B"/>
    <w:rsid w:val="2D0634B3"/>
    <w:rsid w:val="2DA44F6C"/>
    <w:rsid w:val="3094708E"/>
    <w:rsid w:val="31A77482"/>
    <w:rsid w:val="35A83F95"/>
    <w:rsid w:val="35FF0E62"/>
    <w:rsid w:val="3D0948DE"/>
    <w:rsid w:val="3FCE1E04"/>
    <w:rsid w:val="3FE27165"/>
    <w:rsid w:val="4255781C"/>
    <w:rsid w:val="446F51A0"/>
    <w:rsid w:val="478B2F9F"/>
    <w:rsid w:val="49DE55A7"/>
    <w:rsid w:val="49E83C17"/>
    <w:rsid w:val="4C45610A"/>
    <w:rsid w:val="4D1578B3"/>
    <w:rsid w:val="527304D9"/>
    <w:rsid w:val="54FC2D9E"/>
    <w:rsid w:val="558C5857"/>
    <w:rsid w:val="57945122"/>
    <w:rsid w:val="581F22C5"/>
    <w:rsid w:val="5D5E7446"/>
    <w:rsid w:val="5DE50B65"/>
    <w:rsid w:val="5F8D69FD"/>
    <w:rsid w:val="62F31EB2"/>
    <w:rsid w:val="65A95D38"/>
    <w:rsid w:val="6EEB07DC"/>
    <w:rsid w:val="77D118E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caption"/>
    <w:basedOn w:val="1"/>
    <w:next w:val="1"/>
    <w:unhideWhenUsed/>
    <w:qFormat/>
    <w:uiPriority w:val="0"/>
    <w:rPr>
      <w:rFonts w:ascii="Cambria" w:hAnsi="Cambria" w:eastAsia="黑体"/>
      <w:sz w:val="20"/>
      <w:szCs w:val="20"/>
    </w:rPr>
  </w:style>
  <w:style w:type="paragraph" w:styleId="3">
    <w:name w:val="Document Map"/>
    <w:basedOn w:val="1"/>
    <w:link w:val="11"/>
    <w:qFormat/>
    <w:uiPriority w:val="0"/>
    <w:rPr>
      <w:rFonts w:ascii="宋体"/>
      <w:sz w:val="18"/>
      <w:szCs w:val="18"/>
    </w:rPr>
  </w:style>
  <w:style w:type="paragraph" w:styleId="4">
    <w:name w:val="Balloon Text"/>
    <w:basedOn w:val="1"/>
    <w:link w:val="12"/>
    <w:qFormat/>
    <w:uiPriority w:val="0"/>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qFormat/>
    <w:uiPriority w:val="0"/>
    <w:rPr>
      <w:kern w:val="2"/>
      <w:sz w:val="18"/>
      <w:szCs w:val="18"/>
    </w:rPr>
  </w:style>
  <w:style w:type="character" w:customStyle="1" w:styleId="10">
    <w:name w:val="页脚 Char"/>
    <w:basedOn w:val="7"/>
    <w:link w:val="5"/>
    <w:qFormat/>
    <w:uiPriority w:val="99"/>
    <w:rPr>
      <w:kern w:val="2"/>
      <w:sz w:val="18"/>
      <w:szCs w:val="18"/>
    </w:rPr>
  </w:style>
  <w:style w:type="character" w:customStyle="1" w:styleId="11">
    <w:name w:val="文档结构图 Char"/>
    <w:basedOn w:val="7"/>
    <w:link w:val="3"/>
    <w:qFormat/>
    <w:uiPriority w:val="0"/>
    <w:rPr>
      <w:rFonts w:ascii="宋体"/>
      <w:kern w:val="2"/>
      <w:sz w:val="18"/>
      <w:szCs w:val="18"/>
    </w:rPr>
  </w:style>
  <w:style w:type="character" w:customStyle="1" w:styleId="12">
    <w:name w:val="批注框文本 Char"/>
    <w:basedOn w:val="7"/>
    <w:link w:val="4"/>
    <w:qFormat/>
    <w:uiPriority w:val="0"/>
    <w:rPr>
      <w:kern w:val="2"/>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1.xml"/><Relationship Id="rId14" Type="http://schemas.openxmlformats.org/officeDocument/2006/relationships/chart" Target="charts/chart10.xml"/><Relationship Id="rId13" Type="http://schemas.openxmlformats.org/officeDocument/2006/relationships/chart" Target="charts/chart9.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7700;&#22616;&#38215;&#20915;&#31639;&#25253;&#21578;\2017&#24180;&#25910;&#20837;&#32467;&#26500;&#20998;&#26512;&#2227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I:\&#27700;&#22616;&#38215;&#20915;&#31639;&#25253;&#21578;\&#36164;&#20135;&#26500;&#25104;&#22270;.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I:\&#27700;&#22616;&#38215;&#20915;&#31639;&#25253;&#21578;\&#22266;&#23450;&#36164;&#20135;&#26500;&#25104;&#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7700;&#22616;&#38215;&#20915;&#31639;&#25253;&#21578;\&#36130;&#25919;&#25320;&#27454;&#25910;&#20837;&#20998;&#26512;&#22270;&#65288;&#25353;&#21151;&#33021;&#31185;&#30446;&#20998;&#31867;&#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7700;&#22616;&#38215;&#20915;&#31639;&#25253;&#21578;\&#36130;&#25919;&#25320;&#27454;&#25910;&#20837;&#20998;&#26512;&#22270;&#65288;&#25353;&#21151;&#33021;&#31185;&#30446;&#20998;&#31867;&#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7700;&#22616;&#38215;&#20915;&#31639;&#25253;&#21578;\&#25903;&#20986;&#32467;&#26500;&#20998;&#26512;&#22270;&#65288;&#25353;&#32463;&#27982;&#31185;&#30446;&#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7700;&#22616;&#38215;&#20915;&#31639;&#25253;&#21578;\&#25903;&#20986;&#32467;&#26500;&#20998;&#26512;&#22270;&#65288;&#25353;&#21151;&#33021;&#31185;&#30446;&#20998;&#31867;&#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7700;&#22616;&#38215;&#20915;&#31639;&#25253;&#21578;\&#25903;&#20986;&#32467;&#26500;&#20998;&#26512;&#22270;&#65288;&#25353;&#21151;&#33021;&#31185;&#30446;&#20998;&#31867;&#652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27700;&#22616;&#38215;&#20915;&#31639;&#25253;&#21578;\&#19982;&#19978;&#24180;&#25910;&#20837;&#23545;&#27604;&#20998;&#26512;&#2227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I:\&#27700;&#22616;&#38215;&#20915;&#31639;&#25253;&#21578;\&#19982;&#19978;&#24180;&#25903;&#20986;&#23545;&#27604;&#20998;&#26512;&#2227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I:\&#27700;&#22616;&#38215;&#20915;&#31639;&#25253;&#21578;\&#32467;&#20313;&#24773;&#20917;&#20998;&#2651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F0000"/>
            </a:solidFill>
            <a:ln w="25400" cap="flat" cmpd="sng" algn="ctr">
              <a:solidFill>
                <a:schemeClr val="accent6">
                  <a:shade val="50000"/>
                </a:schemeClr>
              </a:solidFill>
              <a:prstDash val="solid"/>
            </a:ln>
            <a:sp3d>
              <a:extrusionClr>
                <a:srgbClr val="FFFFFF"/>
              </a:extrusionClr>
              <a:contourClr>
                <a:srgbClr val="FFFFFF"/>
              </a:contourClr>
            </a:sp3d>
          </c:spPr>
          <c:explosion val="0"/>
          <c:dPt>
            <c:idx val="0"/>
            <c:bubble3D val="0"/>
            <c:explosion val="0"/>
            <c:spPr>
              <a:solidFill>
                <a:srgbClr val="FF0000"/>
              </a:solidFill>
              <a:ln w="25400" cap="flat" cmpd="sng" algn="ctr">
                <a:solidFill>
                  <a:schemeClr val="accent6">
                    <a:shade val="50000"/>
                  </a:schemeClr>
                </a:solidFill>
                <a:prstDash val="solid"/>
              </a:ln>
              <a:sp3d>
                <a:extrusionClr>
                  <a:srgbClr val="FFFFFF"/>
                </a:extrusionClr>
                <a:contourClr>
                  <a:srgbClr val="FFFFFF"/>
                </a:contourClr>
              </a:sp3d>
            </c:spPr>
          </c:dPt>
          <c:dPt>
            <c:idx val="1"/>
            <c:bubble3D val="0"/>
            <c:explosion val="0"/>
            <c:spPr>
              <a:solidFill>
                <a:srgbClr val="FFFF00"/>
              </a:solidFill>
              <a:ln w="25400" cap="flat" cmpd="sng" algn="ctr">
                <a:solidFill>
                  <a:schemeClr val="accent6">
                    <a:shade val="50000"/>
                  </a:schemeClr>
                </a:solidFill>
                <a:prstDash val="solid"/>
              </a:ln>
              <a:sp3d>
                <a:extrusionClr>
                  <a:srgbClr val="FFFFFF"/>
                </a:extrusionClr>
                <a:contourClr>
                  <a:srgbClr val="FFFFFF"/>
                </a:contourClr>
              </a:sp3d>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[2017年收入结构分析图.xls]Sheet1!$A$1:$B$1</c:f>
              <c:strCache>
                <c:ptCount val="2"/>
                <c:pt idx="0">
                  <c:v>公共预算财政拨款</c:v>
                </c:pt>
                <c:pt idx="1">
                  <c:v>其他收入</c:v>
                </c:pt>
              </c:strCache>
            </c:strRef>
          </c:cat>
          <c:val>
            <c:numRef>
              <c:f>[2017年收入结构分析图.xls]Sheet1!$A$2:$B$2</c:f>
              <c:numCache>
                <c:formatCode>#,##0.00</c:formatCode>
                <c:ptCount val="2"/>
                <c:pt idx="0">
                  <c:v>435.37</c:v>
                </c:pt>
                <c:pt idx="1" c:formatCode="General">
                  <c:v>4.54</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zero"/>
    <c:showDLblsOverMax val="0"/>
  </c:chart>
  <c:txPr>
    <a:bodyPr wrap="square"/>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04540682414698"/>
          <c:y val="0.0810185185185185"/>
          <c:w val="0.660801618547681"/>
          <c:h val="0.773148148148148"/>
        </c:manualLayout>
      </c:layout>
      <c:pieChart>
        <c:varyColors val="1"/>
        <c:ser>
          <c:idx val="0"/>
          <c:order val="0"/>
          <c:explosion val="25"/>
          <c:dPt>
            <c:idx val="0"/>
            <c:bubble3D val="0"/>
            <c:explosion val="25"/>
            <c:spPr>
              <a:solidFill>
                <a:srgbClr val="FF0000"/>
              </a:solidFill>
            </c:spPr>
          </c:dPt>
          <c:dPt>
            <c:idx val="1"/>
            <c:bubble3D val="0"/>
            <c:explosion val="25"/>
            <c:spPr>
              <a:solidFill>
                <a:srgbClr val="FFC000"/>
              </a:solidFill>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[资产构成图.XLS]Sheet1!$A$1:$B$1</c:f>
              <c:strCache>
                <c:ptCount val="2"/>
                <c:pt idx="0">
                  <c:v>流动资产</c:v>
                </c:pt>
                <c:pt idx="1">
                  <c:v>固定资产</c:v>
                </c:pt>
              </c:strCache>
            </c:strRef>
          </c:cat>
          <c:val>
            <c:numRef>
              <c:f>[资产构成图.XLS]Sheet1!$A$2:$B$2</c:f>
              <c:numCache>
                <c:formatCode>#,##0.00</c:formatCode>
                <c:ptCount val="2"/>
                <c:pt idx="0">
                  <c:v>4.64</c:v>
                </c:pt>
                <c:pt idx="1">
                  <c:v>190.77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wrap="square"/>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rgbClr val="00B0F0"/>
              </a:solidFill>
            </c:spPr>
          </c:dPt>
          <c:dPt>
            <c:idx val="1"/>
            <c:bubble3D val="0"/>
            <c:explosion val="0"/>
            <c:spPr>
              <a:solidFill>
                <a:srgbClr val="FFFF00"/>
              </a:solidFill>
            </c:spPr>
          </c:dPt>
          <c:dPt>
            <c:idx val="2"/>
            <c:bubble3D val="0"/>
            <c:explosion val="0"/>
            <c:spPr>
              <a:solidFill>
                <a:srgbClr val="FF0000"/>
              </a:solidFill>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[固定资产构成图.XLS]Sheet1!$A$1:$C$1</c:f>
              <c:strCache>
                <c:ptCount val="3"/>
                <c:pt idx="0">
                  <c:v>房屋</c:v>
                </c:pt>
                <c:pt idx="1">
                  <c:v>  汽车</c:v>
                </c:pt>
                <c:pt idx="2">
                  <c:v> 其他固定资产</c:v>
                </c:pt>
              </c:strCache>
            </c:strRef>
          </c:cat>
          <c:val>
            <c:numRef>
              <c:f>[固定资产构成图.XLS]Sheet1!$A$2:$C$2</c:f>
              <c:numCache>
                <c:formatCode>#,##0.00</c:formatCode>
                <c:ptCount val="3"/>
                <c:pt idx="0">
                  <c:v>59.92</c:v>
                </c:pt>
                <c:pt idx="1">
                  <c:v>56.44</c:v>
                </c:pt>
                <c:pt idx="2">
                  <c:v>74.41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'[财政拨款收入分析图（按功能科目分类）.xls]Sheet1'!$A$1:$E$1</c:f>
              <c:strCache>
                <c:ptCount val="5"/>
                <c:pt idx="0">
                  <c:v>一般公共服务</c:v>
                </c:pt>
                <c:pt idx="1">
                  <c:v>社会保障和就业</c:v>
                </c:pt>
                <c:pt idx="2">
                  <c:v>医疗卫生</c:v>
                </c:pt>
                <c:pt idx="3">
                  <c:v>住房保障支出</c:v>
                </c:pt>
                <c:pt idx="4">
                  <c:v>其他收入</c:v>
                </c:pt>
              </c:strCache>
            </c:strRef>
          </c:cat>
          <c:val>
            <c:numRef>
              <c:f>'[财政拨款收入分析图（按功能科目分类）.xls]Sheet1'!$A$2:$E$2</c:f>
              <c:numCache>
                <c:formatCode>#,##0.00</c:formatCode>
                <c:ptCount val="5"/>
                <c:pt idx="0">
                  <c:v>355</c:v>
                </c:pt>
                <c:pt idx="1">
                  <c:v>32.97</c:v>
                </c:pt>
                <c:pt idx="2">
                  <c:v>25.36</c:v>
                </c:pt>
                <c:pt idx="3">
                  <c:v>21.96</c:v>
                </c:pt>
                <c:pt idx="4">
                  <c:v>4.54</c:v>
                </c:pt>
              </c:numCache>
            </c:numRef>
          </c:val>
          <c:smooth val="0"/>
        </c:ser>
        <c:dLbls>
          <c:showLegendKey val="0"/>
          <c:showVal val="0"/>
          <c:showCatName val="0"/>
          <c:showSerName val="0"/>
          <c:showPercent val="0"/>
          <c:showBubbleSize val="0"/>
        </c:dLbls>
        <c:marker val="1"/>
        <c:smooth val="0"/>
        <c:axId val="708060318"/>
        <c:axId val="416503097"/>
      </c:lineChart>
      <c:catAx>
        <c:axId val="70806031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6503097"/>
        <c:crosses val="autoZero"/>
        <c:auto val="1"/>
        <c:lblAlgn val="ctr"/>
        <c:lblOffset val="100"/>
        <c:noMultiLvlLbl val="0"/>
      </c:catAx>
      <c:valAx>
        <c:axId val="416503097"/>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08060318"/>
        <c:crosses val="autoZero"/>
        <c:crossBetween val="between"/>
      </c:valAx>
    </c:plotArea>
    <c:plotVisOnly val="1"/>
    <c:dispBlanksAs val="zero"/>
    <c:showDLblsOverMax val="0"/>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700" b="1" i="0" u="none" strike="noStrike" baseline="0">
                <a:solidFill>
                  <a:srgbClr val="000000"/>
                </a:solidFill>
                <a:latin typeface="宋体" panose="02010600030101010101" charset="-122"/>
                <a:ea typeface="宋体" panose="02010600030101010101" charset="-122"/>
                <a:cs typeface="宋体" panose="02010600030101010101" charset="-122"/>
              </a:rPr>
              <a:t>财政拨款收入分析图(按功能科目分类)</a:t>
            </a:r>
            <a:r>
              <a:rPr sz="1475" b="0" i="0" u="none" strike="noStrike" baseline="0">
                <a:solidFill>
                  <a:srgbClr val="000000"/>
                </a:solidFill>
                <a:latin typeface="宋体" panose="02010600030101010101" charset="-122"/>
                <a:ea typeface="宋体" panose="02010600030101010101" charset="-122"/>
                <a:cs typeface="宋体" panose="02010600030101010101" charset="-122"/>
              </a:rPr>
              <a:t>                                           </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17993356299213"/>
          <c:y val="0.0318472831979524"/>
        </c:manualLayout>
      </c:layout>
      <c:overlay val="0"/>
      <c:spPr>
        <a:noFill/>
        <a:ln w="3175">
          <a:noFill/>
        </a:ln>
      </c:spPr>
    </c:title>
    <c:autoTitleDeleted val="0"/>
    <c:plotArea>
      <c:layout>
        <c:manualLayout>
          <c:layoutTarget val="inner"/>
          <c:xMode val="edge"/>
          <c:yMode val="edge"/>
          <c:x val="0.211072902105976"/>
          <c:y val="0.458599676966554"/>
          <c:w val="0.342560939483469"/>
          <c:h val="0.250531305009506"/>
        </c:manualLayout>
      </c:layout>
      <c:pieChart>
        <c:varyColors val="1"/>
        <c:ser>
          <c:idx val="0"/>
          <c:order val="0"/>
          <c:spPr>
            <a:solidFill>
              <a:srgbClr val="9999FF">
                <a:alpha val="100000"/>
              </a:srgbClr>
            </a:solidFill>
            <a:ln w="3175">
              <a:noFill/>
            </a:ln>
          </c:spPr>
          <c:explosion val="30"/>
          <c:dPt>
            <c:idx val="0"/>
            <c:bubble3D val="0"/>
            <c:explosion val="30"/>
            <c:spPr>
              <a:solidFill>
                <a:srgbClr val="9999FF">
                  <a:alpha val="100000"/>
                </a:srgbClr>
              </a:solidFill>
              <a:ln w="3175">
                <a:noFill/>
              </a:ln>
            </c:spPr>
          </c:dPt>
          <c:dPt>
            <c:idx val="1"/>
            <c:bubble3D val="0"/>
            <c:explosion val="30"/>
            <c:spPr>
              <a:solidFill>
                <a:srgbClr val="993366">
                  <a:alpha val="100000"/>
                </a:srgbClr>
              </a:solidFill>
              <a:ln w="3175">
                <a:noFill/>
              </a:ln>
            </c:spPr>
          </c:dPt>
          <c:dPt>
            <c:idx val="2"/>
            <c:bubble3D val="0"/>
            <c:explosion val="30"/>
            <c:spPr>
              <a:solidFill>
                <a:srgbClr val="FFFFCC">
                  <a:alpha val="100000"/>
                </a:srgbClr>
              </a:solidFill>
              <a:ln w="3175">
                <a:noFill/>
              </a:ln>
            </c:spPr>
          </c:dPt>
          <c:dPt>
            <c:idx val="3"/>
            <c:bubble3D val="0"/>
            <c:explosion val="30"/>
            <c:spPr>
              <a:solidFill>
                <a:srgbClr val="CCFFFF">
                  <a:alpha val="100000"/>
                </a:srgbClr>
              </a:solidFill>
              <a:ln w="3175">
                <a:noFill/>
              </a:ln>
            </c:spPr>
          </c:dPt>
          <c:dLbls>
            <c:dLbl>
              <c:idx val="0"/>
              <c:layout>
                <c:manualLayout>
                  <c:x val="0.0524139067215225"/>
                  <c:y val="-0.0760645226128007"/>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803317817198612"/>
                  <c:y val="-0.13950589151665"/>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668313243581704"/>
                  <c:y val="-0.0515926742136934"/>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806581237108358"/>
                  <c:y val="0.0213829483158783"/>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 sourceLinked="0"/>
            <c:spPr>
              <a:noFill/>
              <a:ln w="3175">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19050" cap="flat" cmpd="sng" algn="ctr">
                      <a:solidFill>
                        <a:srgbClr val="000000">
                          <a:alpha val="100000"/>
                        </a:srgbClr>
                      </a:solidFill>
                      <a:prstDash val="solid"/>
                      <a:round/>
                    </a:ln>
                  </c:spPr>
                </c15:leaderLines>
              </c:ext>
            </c:extLst>
          </c:dLbls>
          <c:cat>
            <c:strRef>
              <c:f>'[财政拨款收入分析图（按功能科目分类）.xls]Sheet1'!$A$1:$D$1</c:f>
              <c:strCache>
                <c:ptCount val="4"/>
                <c:pt idx="0">
                  <c:v>一般公共服务</c:v>
                </c:pt>
                <c:pt idx="1">
                  <c:v>社会保障和就业</c:v>
                </c:pt>
                <c:pt idx="2">
                  <c:v>医疗卫生</c:v>
                </c:pt>
                <c:pt idx="3">
                  <c:v>住房保障支出</c:v>
                </c:pt>
              </c:strCache>
            </c:strRef>
          </c:cat>
          <c:val>
            <c:numRef>
              <c:f>'[财政拨款收入分析图（按功能科目分类）.xls]Sheet1'!$A$2:$D$2</c:f>
              <c:numCache>
                <c:formatCode>#,##0.00</c:formatCode>
                <c:ptCount val="4"/>
                <c:pt idx="0">
                  <c:v>355</c:v>
                </c:pt>
                <c:pt idx="1">
                  <c:v>32.97</c:v>
                </c:pt>
                <c:pt idx="2">
                  <c:v>25.36</c:v>
                </c:pt>
                <c:pt idx="3">
                  <c:v>21.96</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61246582458443"/>
          <c:y val="0.337580206537388"/>
          <c:w val="0.23325"/>
          <c:h val="0.5"/>
        </c:manualLayout>
      </c:layout>
      <c:overlay val="0"/>
      <c:spPr>
        <a:solidFill>
          <a:srgbClr val="FFFFFF">
            <a:alpha val="100000"/>
          </a:srgbClr>
        </a:solidFill>
        <a:ln w="3175">
          <a:noFill/>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Pt>
            <c:idx val="0"/>
            <c:bubble3D val="0"/>
            <c:explosion val="25"/>
            <c:spPr>
              <a:solidFill>
                <a:schemeClr val="tx2">
                  <a:lumMod val="60000"/>
                  <a:lumOff val="40000"/>
                </a:schemeClr>
              </a:solidFill>
            </c:spPr>
          </c:dPt>
          <c:dPt>
            <c:idx val="1"/>
            <c:bubble3D val="0"/>
            <c:explosion val="25"/>
            <c:spPr>
              <a:solidFill>
                <a:srgbClr val="FF0000"/>
              </a:solidFill>
            </c:spPr>
          </c:dPt>
          <c:dPt>
            <c:idx val="2"/>
            <c:bubble3D val="0"/>
            <c:explosion val="25"/>
            <c:spPr>
              <a:solidFill>
                <a:srgbClr val="FFC000"/>
              </a:solidFill>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'[支出结构分析图（按经济科目）.xls]Sheet1'!$A$1:$C$1</c:f>
              <c:strCache>
                <c:ptCount val="3"/>
                <c:pt idx="0">
                  <c:v>工资福利支出</c:v>
                </c:pt>
                <c:pt idx="1">
                  <c:v>商品和服务支出</c:v>
                </c:pt>
                <c:pt idx="2">
                  <c:v>对个人和家庭的补助</c:v>
                </c:pt>
              </c:strCache>
            </c:strRef>
          </c:cat>
          <c:val>
            <c:numRef>
              <c:f>'[支出结构分析图（按经济科目）.xls]Sheet1'!$A$2:$C$2</c:f>
              <c:numCache>
                <c:formatCode>General</c:formatCode>
                <c:ptCount val="3"/>
                <c:pt idx="0">
                  <c:v>310.74</c:v>
                </c:pt>
                <c:pt idx="1">
                  <c:v>56.86</c:v>
                </c:pt>
                <c:pt idx="2">
                  <c:v>71.01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800" b="1" i="0" u="none" strike="noStrike" baseline="0">
                <a:solidFill>
                  <a:srgbClr val="000000"/>
                </a:solidFill>
                <a:latin typeface="宋体" panose="02010600030101010101" charset="-122"/>
                <a:ea typeface="宋体" panose="02010600030101010101" charset="-122"/>
                <a:cs typeface="宋体" panose="02010600030101010101" charset="-122"/>
              </a:rPr>
              <a:t>支出结构分析图（按功能科目分类）                                      </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72297462817148"/>
          <c:y val="0.0308008213552361"/>
        </c:manualLayout>
      </c:layout>
      <c:overlay val="0"/>
    </c:title>
    <c:autoTitleDeleted val="0"/>
    <c:plotArea>
      <c:layout>
        <c:manualLayout>
          <c:layoutTarget val="inner"/>
          <c:xMode val="edge"/>
          <c:yMode val="edge"/>
          <c:x val="0.193693906705187"/>
          <c:y val="0.451745832811129"/>
          <c:w val="0.384009431316678"/>
          <c:h val="0.277207670134102"/>
        </c:manualLayout>
      </c:layout>
      <c:pieChart>
        <c:varyColors val="1"/>
        <c:ser>
          <c:idx val="0"/>
          <c:order val="0"/>
          <c:spPr>
            <a:solidFill>
              <a:srgbClr val="9999FF">
                <a:alpha val="100000"/>
              </a:srgbClr>
            </a:solidFill>
            <a:ln w="3175">
              <a:noFill/>
            </a:ln>
          </c:spPr>
          <c:explosion val="25"/>
          <c:dPt>
            <c:idx val="0"/>
            <c:bubble3D val="0"/>
            <c:explosion val="25"/>
            <c:spPr>
              <a:solidFill>
                <a:srgbClr val="9999FF">
                  <a:alpha val="100000"/>
                </a:srgbClr>
              </a:solidFill>
              <a:ln w="3175">
                <a:noFill/>
              </a:ln>
            </c:spPr>
          </c:dPt>
          <c:dPt>
            <c:idx val="1"/>
            <c:bubble3D val="0"/>
            <c:explosion val="25"/>
            <c:spPr>
              <a:solidFill>
                <a:srgbClr val="993366">
                  <a:alpha val="100000"/>
                </a:srgbClr>
              </a:solidFill>
              <a:ln w="3175">
                <a:noFill/>
              </a:ln>
            </c:spPr>
          </c:dPt>
          <c:dPt>
            <c:idx val="2"/>
            <c:bubble3D val="0"/>
            <c:explosion val="25"/>
            <c:spPr>
              <a:solidFill>
                <a:srgbClr val="FFFFCC">
                  <a:alpha val="100000"/>
                </a:srgbClr>
              </a:solidFill>
              <a:ln w="3175">
                <a:noFill/>
              </a:ln>
            </c:spPr>
          </c:dPt>
          <c:dPt>
            <c:idx val="3"/>
            <c:bubble3D val="0"/>
            <c:explosion val="25"/>
            <c:spPr>
              <a:solidFill>
                <a:srgbClr val="CCFFFF">
                  <a:alpha val="100000"/>
                </a:srgbClr>
              </a:solidFill>
              <a:ln w="3175">
                <a:noFill/>
              </a:ln>
            </c:spPr>
          </c:dPt>
          <c:dPt>
            <c:idx val="4"/>
            <c:bubble3D val="0"/>
            <c:explosion val="25"/>
            <c:spPr>
              <a:solidFill>
                <a:srgbClr val="660066">
                  <a:alpha val="100000"/>
                </a:srgbClr>
              </a:solidFill>
              <a:ln w="3175">
                <a:noFill/>
              </a:ln>
            </c:spPr>
          </c:dPt>
          <c:dLbls>
            <c:dLbl>
              <c:idx val="0"/>
              <c:layout>
                <c:manualLayout>
                  <c:x val="0.0119073682678535"/>
                  <c:y val="-0.0350561383769719"/>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310169631163243"/>
                  <c:y val="0.0231584516630862"/>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331654132534608"/>
                  <c:y val="-0.0312041063414567"/>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191533117277863"/>
                  <c:y val="0.00443723556207022"/>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196247795992946"/>
                  <c:y val="0.0386957912061293"/>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'[支出结构分析图（按功能科目分类）.xls]Sheet1'!$A$1:$E$1</c:f>
              <c:strCache>
                <c:ptCount val="5"/>
                <c:pt idx="0">
                  <c:v>一般公共服务</c:v>
                </c:pt>
                <c:pt idx="1">
                  <c:v>社会保障和就业</c:v>
                </c:pt>
                <c:pt idx="2">
                  <c:v>医疗卫生</c:v>
                </c:pt>
                <c:pt idx="3" c:formatCode="#,##0.00">
                  <c:v>住房保障支出</c:v>
                </c:pt>
                <c:pt idx="4" c:formatCode="#,##0.00">
                  <c:v>其他支出</c:v>
                </c:pt>
              </c:strCache>
            </c:strRef>
          </c:cat>
          <c:val>
            <c:numRef>
              <c:f>'[支出结构分析图（按功能科目分类）.xls]Sheet1'!$A$2:$E$2</c:f>
              <c:numCache>
                <c:formatCode>#,##0.00</c:formatCode>
                <c:ptCount val="5"/>
                <c:pt idx="0">
                  <c:v>358.32</c:v>
                </c:pt>
                <c:pt idx="1">
                  <c:v>32.97</c:v>
                </c:pt>
                <c:pt idx="2">
                  <c:v>25.36</c:v>
                </c:pt>
                <c:pt idx="3">
                  <c:v>21.96</c:v>
                </c:pt>
                <c:pt idx="4">
                  <c:v>0</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r"/>
      <c:layout>
        <c:manualLayout>
          <c:xMode val="edge"/>
          <c:yMode val="edge"/>
          <c:x val="0.689944189812094"/>
          <c:y val="0.251882487994955"/>
          <c:w val="0.228"/>
          <c:h val="0.61725"/>
        </c:manualLayout>
      </c:layout>
      <c:overlay val="0"/>
      <c:spPr>
        <a:solidFill>
          <a:srgbClr val="FFFFFF">
            <a:alpha val="100000"/>
          </a:srgbClr>
        </a:solidFill>
        <a:ln w="3175">
          <a:noFill/>
        </a:ln>
      </c:spPr>
      <c:txPr>
        <a:bodyPr rot="0" spcFirstLastPara="0" vertOverflow="ellipsis" vert="horz" wrap="square" anchor="ctr" anchorCtr="1"/>
        <a:lstStyle/>
        <a:p>
          <a:pPr>
            <a:defRPr lang="zh-CN" sz="7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625"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266858147275194"/>
          <c:y val="0.0917796540474008"/>
          <c:w val="0.65918373547358"/>
          <c:h val="0.808665055481926"/>
        </c:manualLayout>
      </c:layout>
      <c:barChart>
        <c:barDir val="bar"/>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'[支出结构分析图（按功能科目分类）.xls]Sheet1'!$A$1:$E$1</c:f>
              <c:strCache>
                <c:ptCount val="5"/>
                <c:pt idx="0">
                  <c:v>一般公共服务</c:v>
                </c:pt>
                <c:pt idx="1">
                  <c:v>社会保障和就业</c:v>
                </c:pt>
                <c:pt idx="2">
                  <c:v>医疗卫生</c:v>
                </c:pt>
                <c:pt idx="3" c:formatCode="#,##0.00">
                  <c:v>住房保障支出</c:v>
                </c:pt>
                <c:pt idx="4" c:formatCode="#,##0.00">
                  <c:v>其他支出</c:v>
                </c:pt>
              </c:strCache>
            </c:strRef>
          </c:cat>
          <c:val>
            <c:numRef>
              <c:f>'[支出结构分析图（按功能科目分类）.xls]Sheet1'!$A$2:$E$2</c:f>
              <c:numCache>
                <c:formatCode>#,##0.00</c:formatCode>
                <c:ptCount val="5"/>
                <c:pt idx="0">
                  <c:v>358.32</c:v>
                </c:pt>
                <c:pt idx="1">
                  <c:v>32.97</c:v>
                </c:pt>
                <c:pt idx="2">
                  <c:v>25.36</c:v>
                </c:pt>
                <c:pt idx="3">
                  <c:v>21.96</c:v>
                </c:pt>
                <c:pt idx="4">
                  <c:v>0</c:v>
                </c:pt>
              </c:numCache>
            </c:numRef>
          </c:val>
        </c:ser>
        <c:dLbls>
          <c:showLegendKey val="0"/>
          <c:showVal val="0"/>
          <c:showCatName val="0"/>
          <c:showSerName val="0"/>
          <c:showPercent val="0"/>
          <c:showBubbleSize val="0"/>
        </c:dLbls>
        <c:gapWidth val="150"/>
        <c:overlap val="0"/>
        <c:axId val="24839262"/>
        <c:axId val="409621989"/>
      </c:barChart>
      <c:catAx>
        <c:axId val="24839262"/>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9621989"/>
        <c:crosses val="autoZero"/>
        <c:auto val="1"/>
        <c:lblAlgn val="ctr"/>
        <c:lblOffset val="100"/>
        <c:noMultiLvlLbl val="0"/>
      </c:catAx>
      <c:valAx>
        <c:axId val="409621989"/>
        <c:scaling>
          <c:orientation val="minMax"/>
        </c:scaling>
        <c:delete val="0"/>
        <c:axPos val="b"/>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839262"/>
        <c:crosses val="autoZero"/>
        <c:crossBetween val="between"/>
      </c:valAx>
      <c:spPr>
        <a:solidFill>
          <a:schemeClr val="bg1"/>
        </a:solidFill>
        <a:ln>
          <a:noFill/>
        </a:ln>
        <a:effectLst/>
      </c:spPr>
    </c:plotArea>
    <c:plotVisOnly val="1"/>
    <c:dispBlanksAs val="gap"/>
    <c:showDLblsOverMax val="0"/>
  </c:chart>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027929978517"/>
          <c:y val="0.253102043635192"/>
          <c:w val="0.76601723402765"/>
          <c:h val="0.63027371650332"/>
        </c:manualLayout>
      </c:layout>
      <c:lineChart>
        <c:grouping val="stacked"/>
        <c:varyColors val="0"/>
        <c:ser>
          <c:idx val="0"/>
          <c:order val="0"/>
          <c:tx>
            <c:strRef>
              <c:f>[与上年收入对比分析图.xls]Sheet1!$B$1</c:f>
              <c:strCache>
                <c:ptCount val="1"/>
                <c:pt idx="0">
                  <c:v>2016</c:v>
                </c:pt>
              </c:strCache>
            </c:strRef>
          </c:tx>
          <c:spPr>
            <a:ln w="25400" cap="rnd" cmpd="sng" algn="ctr">
              <a:solidFill>
                <a:srgbClr val="000080">
                  <a:alpha val="100000"/>
                </a:srgbClr>
              </a:solidFill>
              <a:prstDash val="solid"/>
              <a:round/>
            </a:ln>
          </c:spPr>
          <c:marker>
            <c:symbol val="none"/>
          </c:marker>
          <c:dLbls>
            <c:dLbl>
              <c:idx val="2"/>
              <c:layout>
                <c:manualLayout>
                  <c:x val="-0.00371402042711235"/>
                  <c:y val="-0.023159636062861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[与上年收入对比分析图.xls]Sheet1!$A$2:$A$4</c:f>
              <c:strCache>
                <c:ptCount val="3"/>
                <c:pt idx="0">
                  <c:v>总收入</c:v>
                </c:pt>
                <c:pt idx="1">
                  <c:v>公共预算财政拨款收入</c:v>
                </c:pt>
                <c:pt idx="2">
                  <c:v>其他收入</c:v>
                </c:pt>
              </c:strCache>
            </c:strRef>
          </c:cat>
          <c:val>
            <c:numRef>
              <c:f>[与上年收入对比分析图.xls]Sheet1!$B$2:$B$4</c:f>
              <c:numCache>
                <c:formatCode>#,##0.00</c:formatCode>
                <c:ptCount val="3"/>
                <c:pt idx="0">
                  <c:v>433.38</c:v>
                </c:pt>
                <c:pt idx="1" c:formatCode="General">
                  <c:v>424.14</c:v>
                </c:pt>
                <c:pt idx="2" c:formatCode="General">
                  <c:v>9.24</c:v>
                </c:pt>
              </c:numCache>
            </c:numRef>
          </c:val>
          <c:smooth val="0"/>
        </c:ser>
        <c:ser>
          <c:idx val="1"/>
          <c:order val="1"/>
          <c:tx>
            <c:strRef>
              <c:f>[与上年收入对比分析图.xls]Sheet1!$C$1</c:f>
              <c:strCache>
                <c:ptCount val="1"/>
                <c:pt idx="0">
                  <c:v>2017</c:v>
                </c:pt>
              </c:strCache>
            </c:strRef>
          </c:tx>
          <c:spPr>
            <a:ln w="25400" cap="rnd" cmpd="sng" algn="ctr">
              <a:solidFill>
                <a:srgbClr val="FF00FF">
                  <a:alpha val="100000"/>
                </a:srgbClr>
              </a:solidFill>
              <a:prstDash val="solid"/>
              <a:round/>
            </a:ln>
          </c:spPr>
          <c:marker>
            <c:symbol val="none"/>
          </c:marker>
          <c:dLbls>
            <c:dLbl>
              <c:idx val="2"/>
              <c:layout>
                <c:manualLayout>
                  <c:x val="-0.00557103064066852"/>
                  <c:y val="0.02315963606286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[与上年收入对比分析图.xls]Sheet1!$A$2:$A$4</c:f>
              <c:strCache>
                <c:ptCount val="3"/>
                <c:pt idx="0">
                  <c:v>总收入</c:v>
                </c:pt>
                <c:pt idx="1">
                  <c:v>公共预算财政拨款收入</c:v>
                </c:pt>
                <c:pt idx="2">
                  <c:v>其他收入</c:v>
                </c:pt>
              </c:strCache>
            </c:strRef>
          </c:cat>
          <c:val>
            <c:numRef>
              <c:f>[与上年收入对比分析图.xls]Sheet1!$C$2:$C$4</c:f>
              <c:numCache>
                <c:formatCode>#,##0.00</c:formatCode>
                <c:ptCount val="3"/>
                <c:pt idx="0">
                  <c:v>439.91</c:v>
                </c:pt>
                <c:pt idx="1">
                  <c:v>435.37</c:v>
                </c:pt>
                <c:pt idx="2" c:formatCode="General">
                  <c:v>4.54</c:v>
                </c:pt>
              </c:numCache>
            </c:numRef>
          </c:val>
          <c:smooth val="0"/>
        </c:ser>
        <c:dLbls>
          <c:showLegendKey val="0"/>
          <c:showVal val="1"/>
          <c:showCatName val="0"/>
          <c:showSerName val="0"/>
          <c:showPercent val="0"/>
          <c:showBubbleSize val="0"/>
        </c:dLbls>
        <c:marker val="0"/>
        <c:smooth val="0"/>
        <c:axId val="675595077"/>
        <c:axId val="522399959"/>
      </c:lineChart>
      <c:catAx>
        <c:axId val="675595077"/>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22399959"/>
        <c:crosses val="autoZero"/>
        <c:auto val="1"/>
        <c:lblAlgn val="ctr"/>
        <c:lblOffset val="100"/>
        <c:tickLblSkip val="1"/>
        <c:noMultiLvlLbl val="0"/>
      </c:catAx>
      <c:valAx>
        <c:axId val="522399959"/>
        <c:scaling>
          <c:orientation val="minMax"/>
        </c:scaling>
        <c:delete val="0"/>
        <c:axPos val="l"/>
        <c:majorGridlines>
          <c:spPr>
            <a:ln w="3175" cap="flat" cmpd="sng" algn="ctr">
              <a:solidFill>
                <a:srgbClr val="000000">
                  <a:alpha val="100000"/>
                </a:srgbClr>
              </a:solidFill>
              <a:prstDash val="solid"/>
              <a:round/>
            </a:ln>
          </c:spPr>
        </c:majorGridlines>
        <c:numFmt formatCode="#,##0.00"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75595077"/>
        <c:crosses val="autoZero"/>
        <c:crossBetween val="between"/>
      </c:valAx>
      <c:spPr>
        <a:solidFill>
          <a:srgbClr val="FFFFFF">
            <a:alpha val="100000"/>
          </a:srgbClr>
        </a:solidFill>
        <a:ln w="12700">
          <a:solidFill>
            <a:srgbClr val="808080">
              <a:alpha val="100000"/>
            </a:srgbClr>
          </a:solidFill>
          <a:prstDash val="solid"/>
        </a:ln>
      </c:spPr>
    </c:plotArea>
    <c:legend>
      <c:legendPos val="r"/>
      <c:layout>
        <c:manualLayout>
          <c:xMode val="edge"/>
          <c:yMode val="edge"/>
          <c:x val="0.89136548739207"/>
          <c:y val="0.468983151299636"/>
          <c:w val="0.10025"/>
          <c:h val="0.1092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lineChart>
        <c:grouping val="standard"/>
        <c:varyColors val="0"/>
        <c:ser>
          <c:idx val="0"/>
          <c:order val="0"/>
          <c:tx>
            <c:strRef>
              <c:f>[与上年支出对比分析图.xls]Sheet2!$B$1</c:f>
              <c:strCache>
                <c:ptCount val="1"/>
                <c:pt idx="0">
                  <c:v>2016年</c:v>
                </c:pt>
              </c:strCache>
            </c:strRef>
          </c:tx>
          <c:dLbls>
            <c:delete val="1"/>
          </c:dLbls>
          <c:cat>
            <c:strRef>
              <c:f>[与上年支出对比分析图.xls]Sheet2!$A$2:$A$6</c:f>
              <c:strCache>
                <c:ptCount val="5"/>
                <c:pt idx="0">
                  <c:v>一般公共服务</c:v>
                </c:pt>
                <c:pt idx="1">
                  <c:v>教育</c:v>
                </c:pt>
                <c:pt idx="2">
                  <c:v>社会保障和就业</c:v>
                </c:pt>
                <c:pt idx="3">
                  <c:v>医疗卫生</c:v>
                </c:pt>
                <c:pt idx="4">
                  <c:v>住房保障支出</c:v>
                </c:pt>
              </c:strCache>
            </c:strRef>
          </c:cat>
          <c:val>
            <c:numRef>
              <c:f>[与上年支出对比分析图.xls]Sheet2!$B$2:$B$6</c:f>
              <c:numCache>
                <c:formatCode>General</c:formatCode>
                <c:ptCount val="5"/>
                <c:pt idx="0">
                  <c:v>334.85</c:v>
                </c:pt>
                <c:pt idx="1">
                  <c:v>4</c:v>
                </c:pt>
                <c:pt idx="2">
                  <c:v>38.54</c:v>
                </c:pt>
                <c:pt idx="3">
                  <c:v>26.28</c:v>
                </c:pt>
                <c:pt idx="4">
                  <c:v>29.72</c:v>
                </c:pt>
              </c:numCache>
            </c:numRef>
          </c:val>
          <c:smooth val="0"/>
        </c:ser>
        <c:ser>
          <c:idx val="1"/>
          <c:order val="1"/>
          <c:tx>
            <c:strRef>
              <c:f>[与上年支出对比分析图.xls]Sheet2!$C$1</c:f>
              <c:strCache>
                <c:ptCount val="1"/>
                <c:pt idx="0">
                  <c:v>2017年</c:v>
                </c:pt>
              </c:strCache>
            </c:strRef>
          </c:tx>
          <c:dLbls>
            <c:delete val="1"/>
          </c:dLbls>
          <c:cat>
            <c:strRef>
              <c:f>[与上年支出对比分析图.xls]Sheet2!$A$2:$A$6</c:f>
              <c:strCache>
                <c:ptCount val="5"/>
                <c:pt idx="0">
                  <c:v>一般公共服务</c:v>
                </c:pt>
                <c:pt idx="1">
                  <c:v>教育</c:v>
                </c:pt>
                <c:pt idx="2">
                  <c:v>社会保障和就业</c:v>
                </c:pt>
                <c:pt idx="3">
                  <c:v>医疗卫生</c:v>
                </c:pt>
                <c:pt idx="4">
                  <c:v>住房保障支出</c:v>
                </c:pt>
              </c:strCache>
            </c:strRef>
          </c:cat>
          <c:val>
            <c:numRef>
              <c:f>[与上年支出对比分析图.xls]Sheet2!$C$2:$C$6</c:f>
              <c:numCache>
                <c:formatCode>General</c:formatCode>
                <c:ptCount val="5"/>
                <c:pt idx="0">
                  <c:v>358.32</c:v>
                </c:pt>
                <c:pt idx="1">
                  <c:v>0</c:v>
                </c:pt>
                <c:pt idx="2">
                  <c:v>32.97</c:v>
                </c:pt>
                <c:pt idx="3">
                  <c:v>25.36</c:v>
                </c:pt>
                <c:pt idx="4">
                  <c:v>21.96</c:v>
                </c:pt>
              </c:numCache>
            </c:numRef>
          </c:val>
          <c:smooth val="0"/>
        </c:ser>
        <c:dLbls>
          <c:showLegendKey val="0"/>
          <c:showVal val="0"/>
          <c:showCatName val="0"/>
          <c:showSerName val="0"/>
          <c:showPercent val="0"/>
          <c:showBubbleSize val="0"/>
        </c:dLbls>
        <c:marker val="1"/>
        <c:smooth val="0"/>
        <c:axId val="612907240"/>
        <c:axId val="584159133"/>
      </c:lineChart>
      <c:catAx>
        <c:axId val="61290724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84159133"/>
        <c:crosses val="autoZero"/>
        <c:auto val="1"/>
        <c:lblAlgn val="ctr"/>
        <c:lblOffset val="100"/>
        <c:noMultiLvlLbl val="0"/>
      </c:catAx>
      <c:valAx>
        <c:axId val="584159133"/>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2907240"/>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wrap="square"/>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72436570428696"/>
          <c:y val="0.113425925925926"/>
          <c:w val="0.563888888888889"/>
          <c:h val="0.886574074074074"/>
        </c:manualLayout>
      </c:layout>
      <c:doughnutChart>
        <c:varyColors val="1"/>
        <c:ser>
          <c:idx val="0"/>
          <c:order val="0"/>
          <c:explosion val="0"/>
          <c:dPt>
            <c:idx val="0"/>
            <c:bubble3D val="0"/>
            <c:explosion val="0"/>
          </c:dPt>
          <c:dLbls>
            <c:numFmt formatCode="General" sourceLinked="1"/>
            <c:spPr>
              <a:noFill/>
              <a:ln>
                <a:noFill/>
              </a:ln>
              <a:effectLst/>
              <a:scene3d>
                <a:camera prst="orthographicFront"/>
                <a:lightRig rig="threePt" dir="t"/>
              </a:scene3d>
              <a:sp3d/>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[结余情况分析图.XLS]Sheet2!$A$1</c:f>
              <c:strCache>
                <c:ptCount val="1"/>
                <c:pt idx="0">
                  <c:v>一般公共服务</c:v>
                </c:pt>
              </c:strCache>
            </c:strRef>
          </c:cat>
          <c:val>
            <c:numRef>
              <c:f>[结余情况分析图.XLS]Sheet2!$A$2</c:f>
              <c:numCache>
                <c:formatCode>#,##0.00</c:formatCode>
                <c:ptCount val="1"/>
                <c:pt idx="0">
                  <c:v>1.3</c:v>
                </c:pt>
              </c:numCache>
            </c:numRef>
          </c:val>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9981F-2372-4BE9-B769-CCD39C4F2283}">
  <ds:schemaRefs/>
</ds:datastoreItem>
</file>

<file path=docProps/app.xml><?xml version="1.0" encoding="utf-8"?>
<Properties xmlns="http://schemas.openxmlformats.org/officeDocument/2006/extended-properties" xmlns:vt="http://schemas.openxmlformats.org/officeDocument/2006/docPropsVTypes">
  <Template>Normal</Template>
  <Pages>14</Pages>
  <Words>1015</Words>
  <Characters>5788</Characters>
  <Lines>48</Lines>
  <Paragraphs>13</Paragraphs>
  <ScaleCrop>false</ScaleCrop>
  <LinksUpToDate>false</LinksUpToDate>
  <CharactersWithSpaces>6790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2016-01-13T02:00:00Z</dcterms:created>
  <dc:creator>lfq</dc:creator>
  <cp:lastModifiedBy>pc</cp:lastModifiedBy>
  <dcterms:modified xsi:type="dcterms:W3CDTF">2018-07-10T02:04:48Z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