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48" w:rsidRDefault="006A5148">
      <w:pPr>
        <w:widowControl/>
        <w:wordWrap w:val="0"/>
        <w:spacing w:line="580" w:lineRule="exact"/>
        <w:jc w:val="left"/>
        <w:rPr>
          <w:rFonts w:ascii="宋体" w:eastAsia="方正黑体_GBK" w:hAnsi="宋体" w:cs="宋体"/>
          <w:kern w:val="0"/>
          <w:sz w:val="32"/>
          <w:szCs w:val="32"/>
          <w:shd w:val="clear" w:color="auto" w:fill="FFFFFF"/>
        </w:rPr>
      </w:pPr>
      <w:r>
        <w:rPr>
          <w:rFonts w:ascii="宋体" w:eastAsia="方正黑体_GBK" w:hAnsi="宋体" w:cs="方正黑体_GBK" w:hint="eastAsia"/>
          <w:kern w:val="0"/>
          <w:sz w:val="32"/>
          <w:szCs w:val="32"/>
          <w:shd w:val="clear" w:color="auto" w:fill="FFFFFF"/>
        </w:rPr>
        <w:t>附件</w:t>
      </w:r>
      <w:r>
        <w:rPr>
          <w:rFonts w:ascii="宋体" w:eastAsia="方正黑体_GBK" w:hAnsi="宋体" w:cs="宋体"/>
          <w:kern w:val="0"/>
          <w:sz w:val="32"/>
          <w:szCs w:val="32"/>
          <w:shd w:val="clear" w:color="auto" w:fill="FFFFFF"/>
        </w:rPr>
        <w:t>1</w:t>
      </w:r>
    </w:p>
    <w:p w:rsidR="006A5148" w:rsidRDefault="006A5148">
      <w:pPr>
        <w:widowControl/>
        <w:wordWrap w:val="0"/>
        <w:spacing w:line="580" w:lineRule="exact"/>
        <w:jc w:val="left"/>
        <w:rPr>
          <w:rFonts w:ascii="宋体" w:eastAsia="方正黑体_GBK" w:hAnsi="宋体" w:cs="宋体"/>
          <w:kern w:val="0"/>
          <w:sz w:val="32"/>
          <w:szCs w:val="32"/>
          <w:shd w:val="clear" w:color="auto" w:fill="FFFFFF"/>
        </w:rPr>
      </w:pPr>
    </w:p>
    <w:p w:rsidR="006A5148" w:rsidRDefault="006A5148">
      <w:pPr>
        <w:widowControl/>
        <w:wordWrap w:val="0"/>
        <w:spacing w:line="580" w:lineRule="exact"/>
        <w:jc w:val="center"/>
        <w:rPr>
          <w:rFonts w:ascii="宋体" w:eastAsia="方正仿宋_GBK" w:hAnsi="宋体" w:cs="Times New Roman"/>
          <w:sz w:val="36"/>
          <w:szCs w:val="36"/>
        </w:rPr>
      </w:pPr>
      <w:r>
        <w:rPr>
          <w:rFonts w:ascii="宋体" w:eastAsia="方正小标宋_GBK" w:hAnsi="宋体" w:cs="方正小标宋_GBK" w:hint="eastAsia"/>
          <w:kern w:val="0"/>
          <w:sz w:val="36"/>
          <w:szCs w:val="36"/>
        </w:rPr>
        <w:t>新平县畜禽养殖废弃物资源化利用重点工作任务清单</w:t>
      </w:r>
    </w:p>
    <w:tbl>
      <w:tblPr>
        <w:tblpPr w:leftFromText="180" w:rightFromText="180" w:vertAnchor="text" w:horzAnchor="page" w:tblpX="1546" w:tblpY="693"/>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4890"/>
        <w:gridCol w:w="1065"/>
        <w:gridCol w:w="1457"/>
        <w:gridCol w:w="1436"/>
      </w:tblGrid>
      <w:tr w:rsidR="006A5148">
        <w:trPr>
          <w:trHeight w:val="854"/>
        </w:trPr>
        <w:tc>
          <w:tcPr>
            <w:tcW w:w="505" w:type="dxa"/>
            <w:vAlign w:val="center"/>
          </w:tcPr>
          <w:p w:rsidR="006A5148" w:rsidRDefault="006A5148">
            <w:pPr>
              <w:jc w:val="center"/>
              <w:rPr>
                <w:rFonts w:ascii="宋体" w:eastAsia="方正仿宋_GBK" w:hAnsi="宋体" w:cs="Times New Roman"/>
              </w:rPr>
            </w:pPr>
            <w:r>
              <w:rPr>
                <w:rFonts w:ascii="宋体" w:eastAsia="方正仿宋_GBK" w:hAnsi="宋体" w:cs="方正仿宋_GBK" w:hint="eastAsia"/>
              </w:rPr>
              <w:t>序号</w:t>
            </w:r>
          </w:p>
        </w:tc>
        <w:tc>
          <w:tcPr>
            <w:tcW w:w="4890" w:type="dxa"/>
            <w:vAlign w:val="center"/>
          </w:tcPr>
          <w:p w:rsidR="006A5148" w:rsidRDefault="006A5148">
            <w:pPr>
              <w:jc w:val="center"/>
              <w:rPr>
                <w:rFonts w:ascii="宋体" w:eastAsia="方正仿宋_GBK" w:hAnsi="宋体" w:cs="Times New Roman"/>
              </w:rPr>
            </w:pPr>
            <w:r>
              <w:rPr>
                <w:rFonts w:ascii="宋体" w:eastAsia="方正仿宋_GBK" w:hAnsi="宋体" w:cs="方正仿宋_GBK" w:hint="eastAsia"/>
              </w:rPr>
              <w:t>主要任务</w:t>
            </w:r>
          </w:p>
        </w:tc>
        <w:tc>
          <w:tcPr>
            <w:tcW w:w="1065" w:type="dxa"/>
            <w:vAlign w:val="center"/>
          </w:tcPr>
          <w:p w:rsidR="006A5148" w:rsidRDefault="006A5148">
            <w:pPr>
              <w:jc w:val="center"/>
              <w:rPr>
                <w:rFonts w:ascii="宋体" w:eastAsia="方正仿宋_GBK" w:hAnsi="宋体" w:cs="Times New Roman"/>
              </w:rPr>
            </w:pPr>
            <w:r>
              <w:rPr>
                <w:rFonts w:ascii="宋体" w:eastAsia="方正仿宋_GBK" w:hAnsi="宋体" w:cs="方正仿宋_GBK" w:hint="eastAsia"/>
              </w:rPr>
              <w:t>牵头单位</w:t>
            </w:r>
          </w:p>
        </w:tc>
        <w:tc>
          <w:tcPr>
            <w:tcW w:w="1457" w:type="dxa"/>
            <w:vAlign w:val="center"/>
          </w:tcPr>
          <w:p w:rsidR="006A5148" w:rsidRDefault="006A5148">
            <w:pPr>
              <w:jc w:val="center"/>
              <w:rPr>
                <w:rFonts w:ascii="宋体" w:eastAsia="方正仿宋_GBK" w:hAnsi="宋体" w:cs="Times New Roman"/>
              </w:rPr>
            </w:pPr>
            <w:r>
              <w:rPr>
                <w:rFonts w:ascii="宋体" w:eastAsia="方正仿宋_GBK" w:hAnsi="宋体" w:cs="方正仿宋_GBK" w:hint="eastAsia"/>
              </w:rPr>
              <w:t>责任单位</w:t>
            </w:r>
          </w:p>
        </w:tc>
        <w:tc>
          <w:tcPr>
            <w:tcW w:w="1436" w:type="dxa"/>
            <w:vAlign w:val="center"/>
          </w:tcPr>
          <w:p w:rsidR="006A5148" w:rsidRDefault="006A5148">
            <w:pPr>
              <w:jc w:val="center"/>
              <w:rPr>
                <w:rFonts w:ascii="宋体" w:eastAsia="方正仿宋_GBK" w:hAnsi="宋体" w:cs="Times New Roman"/>
              </w:rPr>
            </w:pPr>
            <w:r>
              <w:rPr>
                <w:rFonts w:ascii="宋体" w:eastAsia="方正仿宋_GBK" w:hAnsi="宋体" w:cs="方正仿宋_GBK" w:hint="eastAsia"/>
              </w:rPr>
              <w:t>完成时限</w:t>
            </w:r>
          </w:p>
        </w:tc>
      </w:tr>
      <w:tr w:rsidR="006A5148">
        <w:trPr>
          <w:trHeight w:val="896"/>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新建</w:t>
            </w:r>
            <w:r>
              <w:rPr>
                <w:rFonts w:ascii="宋体" w:eastAsia="方正仿宋_GBK" w:hAnsi="宋体" w:cs="宋体"/>
              </w:rPr>
              <w:t>15</w:t>
            </w:r>
            <w:r>
              <w:rPr>
                <w:rFonts w:ascii="宋体" w:eastAsia="方正仿宋_GBK" w:hAnsi="宋体" w:cs="方正仿宋_GBK" w:hint="eastAsia"/>
                <w:shd w:val="clear" w:color="auto" w:fill="FFFFFF"/>
              </w:rPr>
              <w:t>个种养结合生态循环农业示范项目、</w:t>
            </w:r>
            <w:r>
              <w:rPr>
                <w:rFonts w:ascii="宋体" w:eastAsia="方正仿宋_GBK" w:hAnsi="宋体" w:cs="宋体"/>
                <w:shd w:val="clear" w:color="auto" w:fill="FFFFFF"/>
              </w:rPr>
              <w:t>3</w:t>
            </w:r>
            <w:r>
              <w:rPr>
                <w:rFonts w:ascii="宋体" w:eastAsia="方正仿宋_GBK" w:hAnsi="宋体" w:cs="方正仿宋_GBK" w:hint="eastAsia"/>
                <w:shd w:val="clear" w:color="auto" w:fill="FFFFFF"/>
              </w:rPr>
              <w:t>个云岭牛绿色循环标准化养殖示范场和</w:t>
            </w:r>
            <w:r>
              <w:rPr>
                <w:rFonts w:ascii="宋体" w:eastAsia="方正仿宋_GBK" w:hAnsi="宋体" w:cs="宋体"/>
                <w:shd w:val="clear" w:color="auto" w:fill="FFFFFF"/>
              </w:rPr>
              <w:t>1</w:t>
            </w:r>
            <w:r>
              <w:rPr>
                <w:rFonts w:ascii="宋体" w:eastAsia="方正仿宋_GBK" w:hAnsi="宋体" w:cs="方正仿宋_GBK" w:hint="eastAsia"/>
                <w:shd w:val="clear" w:color="auto" w:fill="FFFFFF"/>
              </w:rPr>
              <w:t>个畜禽规模养殖场治污设施大型沼气工程。</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957"/>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2</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全县畜禽规模养殖场（小区）废弃物利用率达到</w:t>
            </w:r>
            <w:r>
              <w:rPr>
                <w:rFonts w:ascii="宋体" w:eastAsia="方正仿宋_GBK" w:hAnsi="宋体" w:cs="宋体"/>
              </w:rPr>
              <w:t>90%</w:t>
            </w:r>
            <w:r>
              <w:rPr>
                <w:rFonts w:ascii="宋体" w:eastAsia="方正仿宋_GBK" w:hAnsi="宋体" w:cs="方正仿宋_GBK" w:hint="eastAsia"/>
              </w:rPr>
              <w:t>以上，畜禽规模养殖场（小区）粪污处理设施装备配套率</w:t>
            </w:r>
            <w:r>
              <w:rPr>
                <w:rFonts w:ascii="宋体" w:eastAsia="方正仿宋_GBK" w:hAnsi="宋体" w:cs="宋体"/>
              </w:rPr>
              <w:t>95%</w:t>
            </w:r>
            <w:r>
              <w:rPr>
                <w:rFonts w:ascii="宋体" w:eastAsia="方正仿宋_GBK" w:hAnsi="宋体" w:cs="方正仿宋_GBK" w:hint="eastAsia"/>
              </w:rPr>
              <w:t>，畜禽规模养殖场（小区）粪污处理设施运行率</w:t>
            </w:r>
            <w:r>
              <w:rPr>
                <w:rFonts w:ascii="宋体" w:eastAsia="方正仿宋_GBK" w:hAnsi="宋体" w:cs="宋体"/>
              </w:rPr>
              <w:t>95%</w:t>
            </w:r>
            <w:r>
              <w:rPr>
                <w:rFonts w:ascii="宋体" w:eastAsia="方正仿宋_GBK" w:hAnsi="宋体" w:cs="方正仿宋_GBK" w:hint="eastAsia"/>
              </w:rPr>
              <w:t>。</w:t>
            </w:r>
          </w:p>
        </w:tc>
        <w:tc>
          <w:tcPr>
            <w:tcW w:w="1065" w:type="dxa"/>
            <w:vAlign w:val="center"/>
          </w:tcPr>
          <w:p w:rsidR="006A5148" w:rsidRDefault="006A5148">
            <w:pPr>
              <w:snapToGrid w:val="0"/>
              <w:jc w:val="center"/>
              <w:rPr>
                <w:rFonts w:ascii="宋体" w:eastAsia="方正仿宋_GBK" w:hAnsi="宋体" w:cs="宋体"/>
              </w:rPr>
            </w:pPr>
            <w:r>
              <w:rPr>
                <w:rFonts w:ascii="宋体" w:eastAsia="方正仿宋_GBK" w:hAnsi="宋体" w:cs="方正仿宋_GBK" w:hint="eastAsia"/>
              </w:rPr>
              <w:t>县农业局</w:t>
            </w:r>
            <w:r>
              <w:rPr>
                <w:rFonts w:ascii="宋体" w:eastAsia="方正仿宋_GBK" w:hAnsi="宋体" w:cs="宋体"/>
              </w:rPr>
              <w:t xml:space="preserve"> </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756"/>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3</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做好禁养区内规模养殖场和养殖专业户关闭或搬迁</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县环境保护局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w:t>
            </w:r>
            <w:r>
              <w:rPr>
                <w:rFonts w:ascii="宋体" w:eastAsia="方正仿宋_GBK" w:hAnsi="宋体" w:cs="方正仿宋_GBK" w:hint="eastAsia"/>
              </w:rPr>
              <w:t>年</w:t>
            </w:r>
          </w:p>
        </w:tc>
      </w:tr>
      <w:tr w:rsidR="006A5148">
        <w:trPr>
          <w:trHeight w:val="1812"/>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4</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各乡镇（街道）对本行政区域内的畜禽养殖废弃物资源化利用工作负总责。县域内的畜禽规模养殖场废弃物治理工作，实施分类指导，细化建设内容，明确治理完成时间，按照“一场一策、限期完成、验收销账”的监管方式，确保所有在册畜禽规模养殖场按期保质实行畜禽养殖废弃物资源化利用。</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57" w:type="dxa"/>
            <w:vAlign w:val="center"/>
          </w:tcPr>
          <w:p w:rsidR="006A5148" w:rsidRDefault="006A5148">
            <w:pPr>
              <w:snapToGrid w:val="0"/>
              <w:jc w:val="center"/>
              <w:rPr>
                <w:rFonts w:ascii="宋体" w:eastAsia="方正仿宋_GBK" w:hAnsi="宋体" w:cs="Times New Roman"/>
              </w:rPr>
            </w:pP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w:t>
            </w:r>
            <w:r>
              <w:rPr>
                <w:rFonts w:ascii="宋体" w:eastAsia="方正仿宋_GBK" w:hAnsi="宋体" w:cs="方正仿宋_GBK" w:hint="eastAsia"/>
              </w:rPr>
              <w:t>年</w:t>
            </w:r>
            <w:r>
              <w:rPr>
                <w:rFonts w:ascii="宋体" w:eastAsia="方正仿宋_GBK" w:hAnsi="宋体" w:cs="宋体"/>
              </w:rPr>
              <w:t>8</w:t>
            </w:r>
            <w:r>
              <w:rPr>
                <w:rFonts w:ascii="宋体" w:eastAsia="方正仿宋_GBK" w:hAnsi="宋体" w:cs="方正仿宋_GBK" w:hint="eastAsia"/>
              </w:rPr>
              <w:t>月底</w:t>
            </w:r>
          </w:p>
        </w:tc>
      </w:tr>
      <w:tr w:rsidR="006A5148">
        <w:trPr>
          <w:trHeight w:val="783"/>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5</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做好畜禽养殖场直联直报工作，组织填报畜禽规模养殖场直联直报信息系统</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57" w:type="dxa"/>
            <w:vAlign w:val="center"/>
          </w:tcPr>
          <w:p w:rsidR="006A5148" w:rsidRDefault="006A5148">
            <w:pPr>
              <w:snapToGrid w:val="0"/>
              <w:rPr>
                <w:rFonts w:ascii="宋体" w:eastAsia="方正仿宋_GBK" w:hAnsi="宋体" w:cs="Times New Roman"/>
              </w:rPr>
            </w:pP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保护局</w:t>
            </w:r>
          </w:p>
          <w:p w:rsidR="006A5148" w:rsidRDefault="006A5148">
            <w:pPr>
              <w:snapToGrid w:val="0"/>
              <w:jc w:val="center"/>
              <w:rPr>
                <w:rFonts w:ascii="宋体" w:eastAsia="方正仿宋_GBK" w:hAnsi="宋体" w:cs="Times New Roman"/>
              </w:rPr>
            </w:pP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2506"/>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6</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依法依规对畜禽规模养殖相关规划开展环境影响评价，新建、改建、扩建畜禽养殖场、养殖小区，应当符合畜牧业发展规划，满足动物防疫条件，并依法进行环境影响评价。对不同规模、不同区域的畜禽养殖场（小区）项目实行分类管理，不得擅自更改和降低环评文件类别。加强事中事后监管，落实环保“三同时”制度，严格依法查处建设项目环评文件未经审批擅自开工建设、不依法备案环境影响登记表、在初步设计和建设过程中未落实防治污染措施等违法行为。</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1688"/>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lastRenderedPageBreak/>
              <w:t>7</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畜禽粪污贮存设施要做到防雨、防渗、防溢。畜禽养殖标准化示范场要带头落实上述要求，切实发挥示范带动作用，对粪污资源化利用不符合要求的畜禽养殖标准化示范场，将按有关程序取消其相关资格。</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883"/>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8</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加强畜禽规模养殖场污染排放监管，对设有固定排污口的畜禽规模养殖场，依法纳入排污许可监管，严禁偷排漏排。</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1090"/>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9</w:t>
            </w:r>
          </w:p>
        </w:tc>
        <w:tc>
          <w:tcPr>
            <w:tcW w:w="4890" w:type="dxa"/>
            <w:vAlign w:val="center"/>
          </w:tcPr>
          <w:p w:rsidR="006A5148" w:rsidRDefault="006A5148">
            <w:pPr>
              <w:snapToGrid w:val="0"/>
              <w:jc w:val="left"/>
              <w:rPr>
                <w:rFonts w:ascii="宋体" w:eastAsia="方正仿宋_GBK" w:hAnsi="宋体" w:cs="Times New Roman"/>
                <w:shd w:val="clear" w:color="auto" w:fill="FFFFFF"/>
              </w:rPr>
            </w:pPr>
            <w:r>
              <w:rPr>
                <w:rFonts w:ascii="宋体" w:eastAsia="方正仿宋_GBK" w:hAnsi="宋体" w:cs="方正仿宋_GBK" w:hint="eastAsia"/>
                <w:shd w:val="clear" w:color="auto" w:fill="FFFFFF"/>
              </w:rPr>
              <w:t>环保部门会同农业部门对规模养殖场粪污处理设施开展联合检查验收，实施销号制度，对不符合要求的须理出问题清单，督促定期整改，定期复核验收。</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保护局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p>
        </w:tc>
      </w:tr>
      <w:tr w:rsidR="006A5148">
        <w:trPr>
          <w:trHeight w:val="569"/>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10</w:t>
            </w:r>
          </w:p>
        </w:tc>
        <w:tc>
          <w:tcPr>
            <w:tcW w:w="4890" w:type="dxa"/>
            <w:vAlign w:val="center"/>
          </w:tcPr>
          <w:p w:rsidR="006A5148" w:rsidRDefault="006A5148">
            <w:pPr>
              <w:snapToGrid w:val="0"/>
              <w:jc w:val="left"/>
              <w:rPr>
                <w:rFonts w:ascii="宋体" w:eastAsia="方正仿宋_GBK" w:hAnsi="宋体" w:cs="Times New Roman"/>
                <w:shd w:val="clear" w:color="auto" w:fill="FFFFFF"/>
              </w:rPr>
            </w:pPr>
            <w:r>
              <w:rPr>
                <w:rFonts w:ascii="宋体" w:eastAsia="方正仿宋_GBK" w:hAnsi="宋体" w:cs="方正仿宋_GBK" w:hint="eastAsia"/>
                <w:shd w:val="clear" w:color="auto" w:fill="FFFFFF"/>
              </w:rPr>
              <w:t>依法完善肥料登记管理制度，加强商品有机肥质量监管。</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县市场监督管理局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1965"/>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11</w:t>
            </w:r>
          </w:p>
        </w:tc>
        <w:tc>
          <w:tcPr>
            <w:tcW w:w="4890" w:type="dxa"/>
            <w:vAlign w:val="center"/>
          </w:tcPr>
          <w:p w:rsidR="006A5148" w:rsidRDefault="006A5148">
            <w:pPr>
              <w:snapToGrid w:val="0"/>
              <w:jc w:val="left"/>
              <w:rPr>
                <w:rFonts w:ascii="宋体" w:eastAsia="方正仿宋_GBK" w:hAnsi="宋体" w:cs="Times New Roman"/>
                <w:shd w:val="clear" w:color="auto" w:fill="FFFFFF"/>
              </w:rPr>
            </w:pPr>
            <w:r>
              <w:rPr>
                <w:rFonts w:ascii="宋体" w:eastAsia="方正仿宋_GBK" w:hAnsi="宋体" w:cs="方正仿宋_GBK" w:hint="eastAsia"/>
                <w:shd w:val="clear" w:color="auto" w:fill="FFFFFF"/>
              </w:rPr>
              <w:t>制定绩效考核办法，以畜禽规模养殖场粪污处理、有机肥还田利用、沼气使用等指标为重点，建立畜禽养殖废弃物资源化利用工作考核和督查机制，对本行政区域内畜禽养殖废弃物资源化利用工作开展考核，定期通报工作进展，强化考核结果应用，建立激励和责任追究机制，</w:t>
            </w:r>
          </w:p>
        </w:tc>
        <w:tc>
          <w:tcPr>
            <w:tcW w:w="1065" w:type="dxa"/>
            <w:vAlign w:val="center"/>
          </w:tcPr>
          <w:p w:rsidR="006A5148" w:rsidRDefault="006A5148">
            <w:pPr>
              <w:snapToGrid w:val="0"/>
              <w:jc w:val="center"/>
              <w:rPr>
                <w:rFonts w:ascii="宋体" w:eastAsia="方正仿宋_GBK" w:hAnsi="宋体" w:cs="宋体"/>
              </w:rPr>
            </w:pPr>
            <w:r>
              <w:rPr>
                <w:rFonts w:ascii="宋体" w:eastAsia="方正仿宋_GBK" w:hAnsi="宋体" w:cs="方正仿宋_GBK" w:hint="eastAsia"/>
              </w:rPr>
              <w:t>县农业局</w:t>
            </w:r>
            <w:r>
              <w:rPr>
                <w:rFonts w:ascii="宋体" w:eastAsia="方正仿宋_GBK" w:hAnsi="宋体" w:cs="宋体"/>
              </w:rPr>
              <w:t xml:space="preserve"> </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2902"/>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12</w:t>
            </w:r>
          </w:p>
        </w:tc>
        <w:tc>
          <w:tcPr>
            <w:tcW w:w="4890" w:type="dxa"/>
            <w:vAlign w:val="center"/>
          </w:tcPr>
          <w:p w:rsidR="006A5148" w:rsidRDefault="006A5148">
            <w:pPr>
              <w:snapToGrid w:val="0"/>
              <w:jc w:val="left"/>
              <w:rPr>
                <w:rFonts w:ascii="宋体" w:eastAsia="方正仿宋_GBK" w:hAnsi="宋体" w:cs="Times New Roman"/>
                <w:shd w:val="clear" w:color="auto" w:fill="FFFFFF"/>
              </w:rPr>
            </w:pPr>
            <w:r>
              <w:rPr>
                <w:rFonts w:ascii="宋体" w:eastAsia="方正仿宋_GBK" w:hAnsi="宋体" w:cs="方正仿宋_GBK" w:hint="eastAsia"/>
              </w:rPr>
              <w:t>执行国家畜禽粪污还田利用和检测标准、畜禽规模养殖场污染物减排核算办法及畜禽养殖粪污土地承载能力测算方法。坚持以地定畜、以种定养，宜禁则禁、宜减则减、宜增则增。</w:t>
            </w:r>
            <w:r>
              <w:rPr>
                <w:rFonts w:ascii="宋体" w:eastAsia="方正仿宋_GBK" w:hAnsi="宋体" w:cs="方正仿宋_GBK" w:hint="eastAsia"/>
                <w:shd w:val="clear" w:color="auto" w:fill="FFFFFF"/>
              </w:rPr>
              <w:t>结合全县畜禽养殖实际布局和环境保护需要，科学划定畜禽禁养区、限养区。</w:t>
            </w:r>
            <w:r>
              <w:rPr>
                <w:rFonts w:ascii="宋体" w:eastAsia="方正仿宋_GBK" w:hAnsi="宋体" w:cs="方正仿宋_GBK" w:hint="eastAsia"/>
              </w:rPr>
              <w:t>指导超过土地承载能力的区域和规模养殖场，逐步调减养殖总量。</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2675"/>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13</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开展养殖场进果园、进菜园、进茶园、进林地“四进”行动，配合沼气工程大力发展“畜</w:t>
            </w:r>
            <w:r>
              <w:rPr>
                <w:rFonts w:ascii="宋体" w:eastAsia="方正仿宋_GBK" w:hAnsi="宋体" w:cs="宋体"/>
              </w:rPr>
              <w:t>+</w:t>
            </w:r>
            <w:r>
              <w:rPr>
                <w:rFonts w:ascii="宋体" w:eastAsia="方正仿宋_GBK" w:hAnsi="宋体" w:cs="方正仿宋_GBK" w:hint="eastAsia"/>
              </w:rPr>
              <w:t>沼</w:t>
            </w:r>
            <w:r>
              <w:rPr>
                <w:rFonts w:ascii="宋体" w:eastAsia="方正仿宋_GBK" w:hAnsi="宋体" w:cs="宋体"/>
              </w:rPr>
              <w:t>+</w:t>
            </w:r>
            <w:r>
              <w:rPr>
                <w:rFonts w:ascii="宋体" w:eastAsia="方正仿宋_GBK" w:hAnsi="宋体" w:cs="方正仿宋_GBK" w:hint="eastAsia"/>
              </w:rPr>
              <w:t>果”“畜</w:t>
            </w:r>
            <w:r>
              <w:rPr>
                <w:rFonts w:ascii="宋体" w:eastAsia="方正仿宋_GBK" w:hAnsi="宋体" w:cs="宋体"/>
              </w:rPr>
              <w:t>+</w:t>
            </w:r>
            <w:r>
              <w:rPr>
                <w:rFonts w:ascii="宋体" w:eastAsia="方正仿宋_GBK" w:hAnsi="宋体" w:cs="方正仿宋_GBK" w:hint="eastAsia"/>
              </w:rPr>
              <w:t>沼</w:t>
            </w:r>
            <w:r>
              <w:rPr>
                <w:rFonts w:ascii="宋体" w:eastAsia="方正仿宋_GBK" w:hAnsi="宋体" w:cs="宋体"/>
              </w:rPr>
              <w:t>+</w:t>
            </w:r>
            <w:r>
              <w:rPr>
                <w:rFonts w:ascii="宋体" w:eastAsia="方正仿宋_GBK" w:hAnsi="宋体" w:cs="方正仿宋_GBK" w:hint="eastAsia"/>
              </w:rPr>
              <w:t>蔬”“畜</w:t>
            </w:r>
            <w:r>
              <w:rPr>
                <w:rFonts w:ascii="宋体" w:eastAsia="方正仿宋_GBK" w:hAnsi="宋体" w:cs="宋体"/>
              </w:rPr>
              <w:t>+</w:t>
            </w:r>
            <w:r>
              <w:rPr>
                <w:rFonts w:ascii="宋体" w:eastAsia="方正仿宋_GBK" w:hAnsi="宋体" w:cs="方正仿宋_GBK" w:hint="eastAsia"/>
              </w:rPr>
              <w:t>沼</w:t>
            </w:r>
            <w:r>
              <w:rPr>
                <w:rFonts w:ascii="宋体" w:eastAsia="方正仿宋_GBK" w:hAnsi="宋体" w:cs="宋体"/>
              </w:rPr>
              <w:t>+</w:t>
            </w:r>
            <w:r>
              <w:rPr>
                <w:rFonts w:ascii="宋体" w:eastAsia="方正仿宋_GBK" w:hAnsi="宋体" w:cs="方正仿宋_GBK" w:hint="eastAsia"/>
              </w:rPr>
              <w:t>茶”</w:t>
            </w:r>
            <w:bookmarkStart w:id="0" w:name="_GoBack"/>
            <w:bookmarkEnd w:id="0"/>
            <w:r>
              <w:rPr>
                <w:rFonts w:ascii="宋体" w:eastAsia="方正仿宋_GBK" w:hAnsi="宋体" w:cs="方正仿宋_GBK" w:hint="eastAsia"/>
              </w:rPr>
              <w:t>“畜</w:t>
            </w:r>
            <w:r>
              <w:rPr>
                <w:rFonts w:ascii="宋体" w:eastAsia="方正仿宋_GBK" w:hAnsi="宋体" w:cs="宋体"/>
              </w:rPr>
              <w:t>+</w:t>
            </w:r>
            <w:r>
              <w:rPr>
                <w:rFonts w:ascii="宋体" w:eastAsia="方正仿宋_GBK" w:hAnsi="宋体" w:cs="方正仿宋_GBK" w:hint="eastAsia"/>
              </w:rPr>
              <w:t>沼</w:t>
            </w:r>
            <w:r>
              <w:rPr>
                <w:rFonts w:ascii="宋体" w:eastAsia="方正仿宋_GBK" w:hAnsi="宋体" w:cs="宋体"/>
              </w:rPr>
              <w:t>+</w:t>
            </w:r>
            <w:r>
              <w:rPr>
                <w:rFonts w:ascii="宋体" w:eastAsia="方正仿宋_GBK" w:hAnsi="宋体" w:cs="方正仿宋_GBK" w:hint="eastAsia"/>
              </w:rPr>
              <w:t>林”等适度规模养殖、小区域循环利用模式，实现畜禽粪污低成本利用。支持在田间地头配套建设管网和储粪（液）池等设施，解决粪肥还田“最后一公里”问题。</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县发展和</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改革局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县财政局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县林业局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保护局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924"/>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lastRenderedPageBreak/>
              <w:t>14</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kern w:val="0"/>
              </w:rPr>
              <w:t>积极争取中央财政支持，加大各级财政投入，推广政府和社会资本合作模式，创新粪污资源化利用设施建设和运营机制。</w:t>
            </w:r>
            <w:r>
              <w:rPr>
                <w:rFonts w:ascii="宋体" w:eastAsia="方正仿宋_GBK" w:hAnsi="宋体" w:cs="方正仿宋_GBK" w:hint="eastAsia"/>
              </w:rPr>
              <w:t>按照农机购置补贴的相关规定和要求，将畜禽养殖废弃物无害化处理、资源化利用有关设施纳入补贴范围，落实沼气和生物天然气增值税即征即退政策，支持生物天然气和沼气工程开展碳交易项目。认真执行国家对畜禽规模化养殖场产生的养殖废弃物进行综合利用及无害化处理的环保税收优惠政策。落实规模养殖场农业生产用电政策。</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县财政局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县发展和</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改革局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县环境保护局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县住房</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和城乡</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建设局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县水利局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县林业局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县税务局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新平供</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电局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乡镇人民政府、街道办事处</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1198"/>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15</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积极推广畜禽粪污资源化利用先进工艺、技术和装备，开发安全、高效、环保新型饲料产品，引导矿物元素类饲料添加剂减量使用。加强畜禽粪污资源化利用技术集成，加强技术服务与指导，开展技术培训。</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县工业商贸和科技信息局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县市场监督管理局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r w:rsidR="006A5148">
        <w:trPr>
          <w:trHeight w:val="1044"/>
        </w:trPr>
        <w:tc>
          <w:tcPr>
            <w:tcW w:w="505" w:type="dxa"/>
            <w:vAlign w:val="center"/>
          </w:tcPr>
          <w:p w:rsidR="006A5148" w:rsidRDefault="006A5148">
            <w:pPr>
              <w:snapToGrid w:val="0"/>
              <w:jc w:val="center"/>
              <w:rPr>
                <w:rFonts w:ascii="宋体" w:eastAsia="方正仿宋_GBK" w:hAnsi="宋体" w:cs="宋体"/>
              </w:rPr>
            </w:pPr>
            <w:r>
              <w:rPr>
                <w:rFonts w:ascii="宋体" w:eastAsia="方正仿宋_GBK" w:hAnsi="宋体" w:cs="宋体"/>
              </w:rPr>
              <w:t>16</w:t>
            </w:r>
          </w:p>
        </w:tc>
        <w:tc>
          <w:tcPr>
            <w:tcW w:w="4890" w:type="dxa"/>
            <w:vAlign w:val="center"/>
          </w:tcPr>
          <w:p w:rsidR="006A5148" w:rsidRDefault="006A5148">
            <w:pPr>
              <w:snapToGrid w:val="0"/>
              <w:jc w:val="left"/>
              <w:rPr>
                <w:rFonts w:ascii="宋体" w:eastAsia="方正仿宋_GBK" w:hAnsi="宋体" w:cs="Times New Roman"/>
              </w:rPr>
            </w:pPr>
            <w:r>
              <w:rPr>
                <w:rFonts w:ascii="宋体" w:eastAsia="方正仿宋_GBK" w:hAnsi="宋体" w:cs="方正仿宋_GBK" w:hint="eastAsia"/>
              </w:rPr>
              <w:t>加大绿色发展理念、畜禽养殖废弃物资源化利用工作宣传力度，畅通社会和舆论监督渠道，营造良好社会氛围。</w:t>
            </w:r>
          </w:p>
        </w:tc>
        <w:tc>
          <w:tcPr>
            <w:tcW w:w="1065"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县农业局</w:t>
            </w:r>
          </w:p>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县环境保护局</w:t>
            </w:r>
          </w:p>
        </w:tc>
        <w:tc>
          <w:tcPr>
            <w:tcW w:w="1457" w:type="dxa"/>
            <w:vAlign w:val="center"/>
          </w:tcPr>
          <w:p w:rsidR="006A5148" w:rsidRDefault="006A5148">
            <w:pPr>
              <w:snapToGrid w:val="0"/>
              <w:jc w:val="center"/>
              <w:rPr>
                <w:rFonts w:ascii="宋体" w:eastAsia="方正仿宋_GBK" w:hAnsi="宋体" w:cs="Times New Roman"/>
              </w:rPr>
            </w:pPr>
            <w:r>
              <w:rPr>
                <w:rFonts w:ascii="宋体" w:eastAsia="方正仿宋_GBK" w:hAnsi="宋体" w:cs="方正仿宋_GBK" w:hint="eastAsia"/>
              </w:rPr>
              <w:t>县文化广电和体育局</w:t>
            </w:r>
          </w:p>
        </w:tc>
        <w:tc>
          <w:tcPr>
            <w:tcW w:w="1436" w:type="dxa"/>
            <w:vAlign w:val="center"/>
          </w:tcPr>
          <w:p w:rsidR="006A5148" w:rsidRDefault="006A5148">
            <w:pPr>
              <w:snapToGrid w:val="0"/>
              <w:jc w:val="center"/>
              <w:rPr>
                <w:rFonts w:ascii="宋体" w:eastAsia="方正仿宋_GBK" w:hAnsi="宋体" w:cs="Times New Roman"/>
              </w:rPr>
            </w:pPr>
            <w:r>
              <w:rPr>
                <w:rFonts w:ascii="宋体" w:eastAsia="方正仿宋_GBK" w:hAnsi="宋体" w:cs="宋体"/>
              </w:rPr>
              <w:t>2018-2020</w:t>
            </w:r>
            <w:r>
              <w:rPr>
                <w:rFonts w:ascii="宋体" w:eastAsia="方正仿宋_GBK" w:hAnsi="宋体" w:cs="方正仿宋_GBK" w:hint="eastAsia"/>
              </w:rPr>
              <w:t>年</w:t>
            </w:r>
          </w:p>
        </w:tc>
      </w:tr>
    </w:tbl>
    <w:p w:rsidR="006A5148" w:rsidRDefault="006A5148">
      <w:pPr>
        <w:pStyle w:val="a3"/>
        <w:spacing w:before="0" w:beforeAutospacing="0" w:after="226" w:afterAutospacing="0" w:line="540" w:lineRule="atLeast"/>
        <w:rPr>
          <w:rFonts w:eastAsia="方正黑体_GBK" w:cs="Times New Roman"/>
          <w:sz w:val="28"/>
          <w:szCs w:val="28"/>
          <w:shd w:val="clear" w:color="auto" w:fill="FFFFFF"/>
        </w:rPr>
      </w:pPr>
      <w:r>
        <w:rPr>
          <w:rFonts w:eastAsia="方正仿宋_GBK" w:cs="Times New Roman"/>
          <w:b/>
          <w:bCs/>
          <w:sz w:val="32"/>
          <w:szCs w:val="32"/>
          <w:shd w:val="clear" w:color="auto" w:fill="FFFFFF"/>
        </w:rPr>
        <w:br w:type="page"/>
      </w:r>
      <w:r>
        <w:rPr>
          <w:rFonts w:ascii="方正黑体_GBK" w:eastAsia="方正黑体_GBK" w:hAnsi="方正黑体_GBK" w:cs="方正黑体_GBK" w:hint="eastAsia"/>
          <w:sz w:val="32"/>
          <w:szCs w:val="32"/>
          <w:shd w:val="clear" w:color="auto" w:fill="FFFFFF"/>
        </w:rPr>
        <w:lastRenderedPageBreak/>
        <w:t>附件</w:t>
      </w:r>
      <w:r>
        <w:rPr>
          <w:rFonts w:ascii="方正黑体_GBK" w:eastAsia="方正黑体_GBK" w:hAnsi="方正黑体_GBK" w:cs="方正黑体_GBK"/>
          <w:sz w:val="32"/>
          <w:szCs w:val="32"/>
          <w:shd w:val="clear" w:color="auto" w:fill="FFFFFF"/>
        </w:rPr>
        <w:t>2 </w:t>
      </w:r>
    </w:p>
    <w:p w:rsidR="006A5148" w:rsidRDefault="006A5148">
      <w:pPr>
        <w:pStyle w:val="a3"/>
        <w:spacing w:before="0" w:beforeAutospacing="0" w:after="226" w:afterAutospacing="0" w:line="540" w:lineRule="atLeast"/>
        <w:rPr>
          <w:rFonts w:ascii="方正小标宋_GBK" w:eastAsia="方正小标宋_GBK" w:hAnsi="方正小标宋_GBK" w:cs="Times New Roman"/>
          <w:b/>
          <w:bCs/>
          <w:sz w:val="36"/>
          <w:szCs w:val="36"/>
        </w:rPr>
      </w:pPr>
      <w:r>
        <w:rPr>
          <w:rFonts w:ascii="方正小标宋_GBK" w:eastAsia="方正小标宋_GBK" w:hAnsi="方正小标宋_GBK" w:cs="方正小标宋_GBK" w:hint="eastAsia"/>
          <w:b/>
          <w:bCs/>
          <w:sz w:val="36"/>
          <w:szCs w:val="36"/>
          <w:shd w:val="clear" w:color="auto" w:fill="FFFFFF"/>
        </w:rPr>
        <w:t>新平县种养结合生态循环农业示范项目建设任务分解表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1"/>
        <w:gridCol w:w="990"/>
        <w:gridCol w:w="2130"/>
        <w:gridCol w:w="2115"/>
        <w:gridCol w:w="2146"/>
      </w:tblGrid>
      <w:tr w:rsidR="006A5148">
        <w:trPr>
          <w:cantSplit/>
          <w:trHeight w:hRule="exact" w:val="1050"/>
        </w:trPr>
        <w:tc>
          <w:tcPr>
            <w:tcW w:w="1141" w:type="dxa"/>
            <w:vAlign w:val="center"/>
          </w:tcPr>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cs="方正仿宋_GBK" w:hint="eastAsia"/>
                <w:b/>
                <w:bCs/>
                <w:shd w:val="clear" w:color="auto" w:fill="FFFFFF"/>
              </w:rPr>
              <w:t>乡镇（街道）</w:t>
            </w:r>
          </w:p>
        </w:tc>
        <w:tc>
          <w:tcPr>
            <w:tcW w:w="990" w:type="dxa"/>
            <w:vAlign w:val="center"/>
          </w:tcPr>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cs="方正仿宋_GBK" w:hint="eastAsia"/>
                <w:b/>
                <w:bCs/>
                <w:shd w:val="clear" w:color="auto" w:fill="FFFFFF"/>
              </w:rPr>
              <w:t>合计（个）</w:t>
            </w:r>
          </w:p>
        </w:tc>
        <w:tc>
          <w:tcPr>
            <w:tcW w:w="2130" w:type="dxa"/>
            <w:vAlign w:val="center"/>
          </w:tcPr>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b/>
                <w:bCs/>
                <w:shd w:val="clear" w:color="auto" w:fill="FFFFFF"/>
              </w:rPr>
              <w:t>2018</w:t>
            </w:r>
            <w:r>
              <w:rPr>
                <w:rFonts w:eastAsia="方正仿宋_GBK" w:cs="方正仿宋_GBK" w:hint="eastAsia"/>
                <w:b/>
                <w:bCs/>
                <w:shd w:val="clear" w:color="auto" w:fill="FFFFFF"/>
              </w:rPr>
              <w:t>年建设</w:t>
            </w:r>
          </w:p>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cs="方正仿宋_GBK" w:hint="eastAsia"/>
                <w:b/>
                <w:bCs/>
                <w:shd w:val="clear" w:color="auto" w:fill="FFFFFF"/>
              </w:rPr>
              <w:t>项目数（个）</w:t>
            </w:r>
          </w:p>
        </w:tc>
        <w:tc>
          <w:tcPr>
            <w:tcW w:w="2115" w:type="dxa"/>
            <w:vAlign w:val="center"/>
          </w:tcPr>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b/>
                <w:bCs/>
                <w:shd w:val="clear" w:color="auto" w:fill="FFFFFF"/>
              </w:rPr>
              <w:t>2019</w:t>
            </w:r>
            <w:r>
              <w:rPr>
                <w:rFonts w:eastAsia="方正仿宋_GBK" w:cs="方正仿宋_GBK" w:hint="eastAsia"/>
                <w:b/>
                <w:bCs/>
                <w:shd w:val="clear" w:color="auto" w:fill="FFFFFF"/>
              </w:rPr>
              <w:t>年建设</w:t>
            </w:r>
          </w:p>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cs="方正仿宋_GBK" w:hint="eastAsia"/>
                <w:b/>
                <w:bCs/>
                <w:shd w:val="clear" w:color="auto" w:fill="FFFFFF"/>
              </w:rPr>
              <w:t>项目数（个）</w:t>
            </w:r>
          </w:p>
        </w:tc>
        <w:tc>
          <w:tcPr>
            <w:tcW w:w="2146" w:type="dxa"/>
            <w:vAlign w:val="center"/>
          </w:tcPr>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b/>
                <w:bCs/>
                <w:shd w:val="clear" w:color="auto" w:fill="FFFFFF"/>
              </w:rPr>
              <w:t>2020</w:t>
            </w:r>
            <w:r>
              <w:rPr>
                <w:rFonts w:eastAsia="方正仿宋_GBK" w:cs="方正仿宋_GBK" w:hint="eastAsia"/>
                <w:b/>
                <w:bCs/>
                <w:shd w:val="clear" w:color="auto" w:fill="FFFFFF"/>
              </w:rPr>
              <w:t>年建设</w:t>
            </w:r>
          </w:p>
          <w:p w:rsidR="006A5148" w:rsidRDefault="006A5148">
            <w:pPr>
              <w:pStyle w:val="a3"/>
              <w:snapToGrid w:val="0"/>
              <w:spacing w:before="0" w:beforeAutospacing="0" w:after="226" w:afterAutospacing="0"/>
              <w:jc w:val="center"/>
              <w:rPr>
                <w:rFonts w:eastAsia="方正仿宋_GBK" w:cs="Times New Roman"/>
                <w:b/>
                <w:bCs/>
                <w:shd w:val="clear" w:color="auto" w:fill="FFFFFF"/>
              </w:rPr>
            </w:pPr>
            <w:r>
              <w:rPr>
                <w:rFonts w:eastAsia="方正仿宋_GBK" w:cs="方正仿宋_GBK" w:hint="eastAsia"/>
                <w:b/>
                <w:bCs/>
                <w:shd w:val="clear" w:color="auto" w:fill="FFFFFF"/>
              </w:rPr>
              <w:t>项目数（个）</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eastAsia="方正仿宋_GBK" w:cs="Times New Roman"/>
                <w:sz w:val="28"/>
                <w:szCs w:val="28"/>
                <w:shd w:val="clear" w:color="auto" w:fill="FFFFFF"/>
              </w:rPr>
            </w:pPr>
            <w:r>
              <w:rPr>
                <w:rFonts w:eastAsia="方正仿宋_GBK" w:cs="方正仿宋_GBK" w:hint="eastAsia"/>
                <w:sz w:val="28"/>
                <w:szCs w:val="28"/>
                <w:shd w:val="clear" w:color="auto" w:fill="FFFFFF"/>
              </w:rPr>
              <w:t>合计</w:t>
            </w:r>
          </w:p>
        </w:tc>
        <w:tc>
          <w:tcPr>
            <w:tcW w:w="990" w:type="dxa"/>
            <w:vAlign w:val="center"/>
          </w:tcPr>
          <w:p w:rsidR="006A5148" w:rsidRDefault="006A5148">
            <w:pPr>
              <w:pStyle w:val="a3"/>
              <w:spacing w:before="0" w:beforeAutospacing="0" w:after="226" w:afterAutospacing="0" w:line="540" w:lineRule="atLeast"/>
              <w:jc w:val="center"/>
              <w:rPr>
                <w:rFonts w:eastAsia="方正仿宋_GBK"/>
                <w:sz w:val="28"/>
                <w:szCs w:val="28"/>
                <w:shd w:val="clear" w:color="auto" w:fill="FFFFFF"/>
              </w:rPr>
            </w:pPr>
            <w:r>
              <w:rPr>
                <w:rFonts w:eastAsia="方正仿宋_GBK"/>
                <w:sz w:val="28"/>
                <w:szCs w:val="28"/>
                <w:shd w:val="clear" w:color="auto" w:fill="FFFFFF"/>
              </w:rPr>
              <w:t>15</w:t>
            </w:r>
          </w:p>
        </w:tc>
        <w:tc>
          <w:tcPr>
            <w:tcW w:w="2130" w:type="dxa"/>
            <w:vAlign w:val="center"/>
          </w:tcPr>
          <w:p w:rsidR="006A5148" w:rsidRDefault="006A5148">
            <w:pPr>
              <w:pStyle w:val="a3"/>
              <w:snapToGrid w:val="0"/>
              <w:spacing w:before="0" w:beforeAutospacing="0" w:after="226" w:afterAutospacing="0"/>
              <w:jc w:val="center"/>
              <w:rPr>
                <w:rFonts w:eastAsia="方正仿宋_GBK"/>
                <w:sz w:val="28"/>
                <w:szCs w:val="28"/>
                <w:shd w:val="clear" w:color="auto" w:fill="FFFFFF"/>
              </w:rPr>
            </w:pPr>
            <w:r>
              <w:rPr>
                <w:rFonts w:eastAsia="方正仿宋_GBK"/>
                <w:sz w:val="28"/>
                <w:szCs w:val="28"/>
                <w:shd w:val="clear" w:color="auto" w:fill="FFFFFF"/>
              </w:rPr>
              <w:t>5</w:t>
            </w:r>
          </w:p>
        </w:tc>
        <w:tc>
          <w:tcPr>
            <w:tcW w:w="2115" w:type="dxa"/>
            <w:vAlign w:val="center"/>
          </w:tcPr>
          <w:p w:rsidR="006A5148" w:rsidRDefault="006A5148">
            <w:pPr>
              <w:pStyle w:val="a3"/>
              <w:spacing w:before="0" w:beforeAutospacing="0" w:after="226" w:afterAutospacing="0" w:line="540" w:lineRule="atLeast"/>
              <w:jc w:val="center"/>
              <w:rPr>
                <w:rFonts w:eastAsia="方正仿宋_GBK"/>
                <w:sz w:val="28"/>
                <w:szCs w:val="28"/>
                <w:shd w:val="clear" w:color="auto" w:fill="FFFFFF"/>
              </w:rPr>
            </w:pPr>
            <w:r>
              <w:rPr>
                <w:rFonts w:eastAsia="方正仿宋_GBK"/>
                <w:sz w:val="28"/>
                <w:szCs w:val="28"/>
                <w:shd w:val="clear" w:color="auto" w:fill="FFFFFF"/>
              </w:rPr>
              <w:t>5</w:t>
            </w:r>
          </w:p>
        </w:tc>
        <w:tc>
          <w:tcPr>
            <w:tcW w:w="2146" w:type="dxa"/>
            <w:vAlign w:val="center"/>
          </w:tcPr>
          <w:p w:rsidR="006A5148" w:rsidRDefault="006A5148">
            <w:pPr>
              <w:pStyle w:val="a3"/>
              <w:spacing w:before="0" w:beforeAutospacing="0" w:after="226" w:afterAutospacing="0" w:line="540" w:lineRule="atLeast"/>
              <w:jc w:val="center"/>
              <w:rPr>
                <w:rFonts w:eastAsia="方正仿宋_GBK"/>
                <w:sz w:val="28"/>
                <w:szCs w:val="28"/>
                <w:shd w:val="clear" w:color="auto" w:fill="FFFFFF"/>
              </w:rPr>
            </w:pPr>
            <w:r>
              <w:rPr>
                <w:rFonts w:eastAsia="方正仿宋_GBK"/>
                <w:sz w:val="28"/>
                <w:szCs w:val="28"/>
                <w:shd w:val="clear" w:color="auto" w:fill="FFFFFF"/>
              </w:rPr>
              <w:t>5</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桂山</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古城</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平甸</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扬武</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新化</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老厂</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戛洒</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2</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2</w:t>
            </w: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水塘</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2</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者竜</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漠沙</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2</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建兴</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rPr>
          <w:cantSplit/>
          <w:trHeight w:hRule="exact" w:val="703"/>
        </w:trPr>
        <w:tc>
          <w:tcPr>
            <w:tcW w:w="1141"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平掌</w:t>
            </w:r>
          </w:p>
        </w:tc>
        <w:tc>
          <w:tcPr>
            <w:tcW w:w="990"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vAlign w:val="center"/>
          </w:tcPr>
          <w:p w:rsidR="006A5148" w:rsidRDefault="006A5148">
            <w:pPr>
              <w:pStyle w:val="a3"/>
              <w:snapToGrid w:val="0"/>
              <w:spacing w:before="0" w:beforeAutospacing="0" w:after="226" w:afterAutospacing="0"/>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15"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vAlign w:val="center"/>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bl>
    <w:p w:rsidR="006A5148" w:rsidRDefault="006A5148">
      <w:pPr>
        <w:pStyle w:val="a3"/>
        <w:spacing w:before="0" w:beforeAutospacing="0" w:after="226" w:afterAutospacing="0" w:line="540" w:lineRule="atLeast"/>
        <w:rPr>
          <w:rFonts w:ascii="Times New Roman" w:eastAsia="方正黑体_GBK" w:hAnsi="Times New Roman" w:cs="Times New Roman"/>
          <w:sz w:val="28"/>
          <w:szCs w:val="28"/>
          <w:shd w:val="clear" w:color="auto" w:fill="FFFFFF"/>
        </w:rPr>
      </w:pPr>
      <w:r>
        <w:rPr>
          <w:rFonts w:ascii="Times New Roman" w:eastAsia="方正仿宋_GBK" w:hAnsi="Times New Roman" w:cs="Times New Roman"/>
          <w:b/>
          <w:bCs/>
          <w:color w:val="FF0000"/>
          <w:sz w:val="32"/>
          <w:szCs w:val="32"/>
          <w:shd w:val="clear" w:color="auto" w:fill="FFFFFF"/>
        </w:rPr>
        <w:br w:type="page"/>
      </w:r>
      <w:r>
        <w:rPr>
          <w:rFonts w:ascii="方正黑体_GBK" w:eastAsia="方正黑体_GBK" w:hAnsi="方正黑体_GBK" w:cs="方正黑体_GBK" w:hint="eastAsia"/>
          <w:sz w:val="32"/>
          <w:szCs w:val="32"/>
          <w:shd w:val="clear" w:color="auto" w:fill="FFFFFF"/>
        </w:rPr>
        <w:lastRenderedPageBreak/>
        <w:t>附件</w:t>
      </w:r>
      <w:r>
        <w:rPr>
          <w:rFonts w:ascii="方正黑体_GBK" w:eastAsia="方正黑体_GBK" w:hAnsi="方正黑体_GBK" w:cs="方正黑体_GBK"/>
          <w:sz w:val="32"/>
          <w:szCs w:val="32"/>
          <w:shd w:val="clear" w:color="auto" w:fill="FFFFFF"/>
        </w:rPr>
        <w:t>3 </w:t>
      </w:r>
    </w:p>
    <w:p w:rsidR="006A5148" w:rsidRDefault="006A5148" w:rsidP="00467443">
      <w:pPr>
        <w:pStyle w:val="a3"/>
        <w:spacing w:before="0" w:beforeAutospacing="0" w:after="226" w:afterAutospacing="0" w:line="540" w:lineRule="atLeast"/>
        <w:ind w:firstLineChars="100" w:firstLine="360"/>
        <w:jc w:val="both"/>
        <w:rPr>
          <w:rFonts w:ascii="方正小标宋_GBK" w:eastAsia="方正小标宋_GBK" w:hAnsi="方正小标宋_GBK" w:cs="Times New Roman"/>
          <w:b/>
          <w:bCs/>
          <w:sz w:val="36"/>
          <w:szCs w:val="36"/>
          <w:shd w:val="clear" w:color="auto" w:fill="FFFFFF"/>
        </w:rPr>
      </w:pPr>
      <w:r>
        <w:rPr>
          <w:rFonts w:ascii="方正小标宋_GBK" w:eastAsia="方正小标宋_GBK" w:hAnsi="方正小标宋_GBK" w:cs="方正小标宋_GBK" w:hint="eastAsia"/>
          <w:b/>
          <w:bCs/>
          <w:sz w:val="36"/>
          <w:szCs w:val="36"/>
          <w:shd w:val="clear" w:color="auto" w:fill="FFFFFF"/>
        </w:rPr>
        <w:t>新平县云岭牛绿色循环标准化示范场任务分解表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1"/>
        <w:gridCol w:w="990"/>
        <w:gridCol w:w="2130"/>
        <w:gridCol w:w="2115"/>
        <w:gridCol w:w="2146"/>
      </w:tblGrid>
      <w:tr w:rsidR="006A5148">
        <w:tc>
          <w:tcPr>
            <w:tcW w:w="1141"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方正仿宋_GBK" w:hint="eastAsia"/>
                <w:b/>
                <w:bCs/>
                <w:shd w:val="clear" w:color="auto" w:fill="FFFFFF"/>
              </w:rPr>
              <w:t>乡镇（街道）</w:t>
            </w:r>
          </w:p>
        </w:tc>
        <w:tc>
          <w:tcPr>
            <w:tcW w:w="99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方正仿宋_GBK" w:hint="eastAsia"/>
                <w:b/>
                <w:bCs/>
                <w:shd w:val="clear" w:color="auto" w:fill="FFFFFF"/>
              </w:rPr>
              <w:t>合计（个）</w:t>
            </w:r>
          </w:p>
        </w:tc>
        <w:tc>
          <w:tcPr>
            <w:tcW w:w="213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Times New Roman"/>
                <w:b/>
                <w:bCs/>
                <w:shd w:val="clear" w:color="auto" w:fill="FFFFFF"/>
              </w:rPr>
              <w:t>2018</w:t>
            </w:r>
            <w:r>
              <w:rPr>
                <w:rFonts w:ascii="Times New Roman" w:eastAsia="方正仿宋_GBK" w:hAnsi="Times New Roman" w:cs="方正仿宋_GBK" w:hint="eastAsia"/>
                <w:b/>
                <w:bCs/>
                <w:shd w:val="clear" w:color="auto" w:fill="FFFFFF"/>
              </w:rPr>
              <w:t>年建设项目数（个）</w:t>
            </w:r>
          </w:p>
        </w:tc>
        <w:tc>
          <w:tcPr>
            <w:tcW w:w="211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Times New Roman"/>
                <w:b/>
                <w:bCs/>
                <w:shd w:val="clear" w:color="auto" w:fill="FFFFFF"/>
              </w:rPr>
              <w:t>2019</w:t>
            </w:r>
            <w:r>
              <w:rPr>
                <w:rFonts w:ascii="Times New Roman" w:eastAsia="方正仿宋_GBK" w:hAnsi="Times New Roman" w:cs="方正仿宋_GBK" w:hint="eastAsia"/>
                <w:b/>
                <w:bCs/>
                <w:shd w:val="clear" w:color="auto" w:fill="FFFFFF"/>
              </w:rPr>
              <w:t>年建设项目数（个）</w:t>
            </w:r>
          </w:p>
        </w:tc>
        <w:tc>
          <w:tcPr>
            <w:tcW w:w="2146"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Times New Roman"/>
                <w:b/>
                <w:bCs/>
                <w:shd w:val="clear" w:color="auto" w:fill="FFFFFF"/>
              </w:rPr>
              <w:t>2020</w:t>
            </w:r>
            <w:r>
              <w:rPr>
                <w:rFonts w:ascii="Times New Roman" w:eastAsia="方正仿宋_GBK" w:hAnsi="Times New Roman" w:cs="方正仿宋_GBK" w:hint="eastAsia"/>
                <w:b/>
                <w:bCs/>
                <w:shd w:val="clear" w:color="auto" w:fill="FFFFFF"/>
              </w:rPr>
              <w:t>年建设项目数（个）</w:t>
            </w:r>
          </w:p>
        </w:tc>
      </w:tr>
      <w:tr w:rsidR="006A5148">
        <w:trPr>
          <w:trHeight w:val="351"/>
        </w:trPr>
        <w:tc>
          <w:tcPr>
            <w:tcW w:w="1141"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合计</w:t>
            </w:r>
          </w:p>
        </w:tc>
        <w:tc>
          <w:tcPr>
            <w:tcW w:w="99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3</w:t>
            </w:r>
          </w:p>
        </w:tc>
        <w:tc>
          <w:tcPr>
            <w:tcW w:w="213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1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c>
          <w:tcPr>
            <w:tcW w:w="1141"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老厂</w:t>
            </w:r>
          </w:p>
        </w:tc>
        <w:tc>
          <w:tcPr>
            <w:tcW w:w="99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1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46"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trHeight w:val="780"/>
        </w:trPr>
        <w:tc>
          <w:tcPr>
            <w:tcW w:w="1141"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漠沙</w:t>
            </w:r>
          </w:p>
        </w:tc>
        <w:tc>
          <w:tcPr>
            <w:tcW w:w="99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1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r>
      <w:tr w:rsidR="006A5148">
        <w:trPr>
          <w:trHeight w:val="741"/>
        </w:trPr>
        <w:tc>
          <w:tcPr>
            <w:tcW w:w="1141"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水塘</w:t>
            </w:r>
          </w:p>
        </w:tc>
        <w:tc>
          <w:tcPr>
            <w:tcW w:w="99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213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1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p>
        </w:tc>
        <w:tc>
          <w:tcPr>
            <w:tcW w:w="2146"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bl>
    <w:p w:rsidR="006A5148" w:rsidRDefault="006A5148">
      <w:pPr>
        <w:pStyle w:val="a3"/>
        <w:spacing w:before="0" w:beforeAutospacing="0" w:after="226" w:afterAutospacing="0" w:line="400" w:lineRule="exact"/>
        <w:rPr>
          <w:rFonts w:ascii="Times New Roman" w:eastAsia="方正黑体_GBK" w:hAnsi="Times New Roman" w:cs="Times New Roman"/>
          <w:sz w:val="28"/>
          <w:szCs w:val="28"/>
        </w:rPr>
      </w:pPr>
      <w:r>
        <w:rPr>
          <w:rFonts w:ascii="Times New Roman" w:eastAsia="方正仿宋_GBK" w:hAnsi="Times New Roman" w:cs="Times New Roman"/>
          <w:b/>
          <w:bCs/>
          <w:color w:val="FF0000"/>
          <w:sz w:val="32"/>
          <w:szCs w:val="32"/>
          <w:shd w:val="clear" w:color="auto" w:fill="FFFFFF"/>
        </w:rPr>
        <w:br w:type="page"/>
      </w:r>
      <w:r>
        <w:rPr>
          <w:rFonts w:ascii="方正黑体_GBK" w:eastAsia="方正黑体_GBK" w:hAnsi="方正黑体_GBK" w:cs="方正黑体_GBK" w:hint="eastAsia"/>
          <w:sz w:val="32"/>
          <w:szCs w:val="32"/>
          <w:shd w:val="clear" w:color="auto" w:fill="FFFFFF"/>
        </w:rPr>
        <w:lastRenderedPageBreak/>
        <w:t>附件</w:t>
      </w:r>
      <w:r>
        <w:rPr>
          <w:rFonts w:ascii="方正黑体_GBK" w:eastAsia="方正黑体_GBK" w:hAnsi="方正黑体_GBK" w:cs="方正黑体_GBK"/>
          <w:sz w:val="32"/>
          <w:szCs w:val="32"/>
          <w:shd w:val="clear" w:color="auto" w:fill="FFFFFF"/>
        </w:rPr>
        <w:t>4</w:t>
      </w:r>
    </w:p>
    <w:p w:rsidR="006A5148" w:rsidRDefault="006A5148">
      <w:pPr>
        <w:pStyle w:val="a3"/>
        <w:spacing w:before="0" w:beforeAutospacing="0" w:after="226" w:afterAutospacing="0" w:line="540" w:lineRule="atLeast"/>
        <w:rPr>
          <w:rFonts w:ascii="方正小标宋_GBK" w:eastAsia="方正小标宋_GBK" w:hAnsi="方正小标宋_GBK" w:cs="Times New Roman"/>
          <w:b/>
          <w:bCs/>
          <w:spacing w:val="-6"/>
          <w:sz w:val="36"/>
          <w:szCs w:val="36"/>
        </w:rPr>
      </w:pPr>
      <w:r>
        <w:rPr>
          <w:rFonts w:ascii="方正小标宋_GBK" w:eastAsia="方正小标宋_GBK" w:hAnsi="方正小标宋_GBK" w:cs="方正小标宋_GBK" w:hint="eastAsia"/>
          <w:b/>
          <w:bCs/>
          <w:spacing w:val="-6"/>
          <w:sz w:val="36"/>
          <w:szCs w:val="36"/>
          <w:shd w:val="clear" w:color="auto" w:fill="FFFFFF"/>
        </w:rPr>
        <w:t>新平县畜禽规模养殖场治污设施大型沼气工程任务分解表</w:t>
      </w:r>
    </w:p>
    <w:tbl>
      <w:tblPr>
        <w:tblW w:w="86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8"/>
        <w:gridCol w:w="2655"/>
        <w:gridCol w:w="3540"/>
      </w:tblGrid>
      <w:tr w:rsidR="006A5148">
        <w:trPr>
          <w:trHeight w:val="764"/>
        </w:trPr>
        <w:tc>
          <w:tcPr>
            <w:tcW w:w="2458" w:type="dxa"/>
            <w:vMerge w:val="restart"/>
          </w:tcPr>
          <w:p w:rsidR="006A5148" w:rsidRDefault="006A5148">
            <w:pPr>
              <w:pStyle w:val="a3"/>
              <w:spacing w:before="0" w:beforeAutospacing="0" w:after="226" w:afterAutospacing="0" w:line="540" w:lineRule="atLeast"/>
              <w:rPr>
                <w:rFonts w:ascii="Times New Roman" w:eastAsia="方正仿宋_GBK" w:hAnsi="Times New Roman" w:cs="Times New Roman"/>
                <w:b/>
                <w:bCs/>
                <w:shd w:val="clear" w:color="auto" w:fill="FFFFFF"/>
              </w:rPr>
            </w:pPr>
            <w:r>
              <w:rPr>
                <w:rFonts w:ascii="Times New Roman" w:eastAsia="方正仿宋_GBK" w:hAnsi="Times New Roman" w:cs="Times New Roman"/>
                <w:sz w:val="32"/>
                <w:szCs w:val="32"/>
                <w:shd w:val="clear" w:color="auto" w:fill="FFFFFF"/>
              </w:rPr>
              <w:t> </w:t>
            </w:r>
            <w:r>
              <w:rPr>
                <w:rFonts w:ascii="Times New Roman" w:eastAsia="方正仿宋_GBK" w:hAnsi="Times New Roman" w:cs="方正仿宋_GBK" w:hint="eastAsia"/>
                <w:b/>
                <w:bCs/>
                <w:shd w:val="clear" w:color="auto" w:fill="FFFFFF"/>
              </w:rPr>
              <w:t>乡镇（街道）</w:t>
            </w:r>
          </w:p>
        </w:tc>
        <w:tc>
          <w:tcPr>
            <w:tcW w:w="2655" w:type="dxa"/>
            <w:vMerge w:val="restart"/>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方正仿宋_GBK" w:hint="eastAsia"/>
                <w:b/>
                <w:bCs/>
                <w:shd w:val="clear" w:color="auto" w:fill="FFFFFF"/>
              </w:rPr>
              <w:t>合计（个）</w:t>
            </w:r>
          </w:p>
        </w:tc>
        <w:tc>
          <w:tcPr>
            <w:tcW w:w="354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方正仿宋_GBK" w:hint="eastAsia"/>
                <w:b/>
                <w:bCs/>
                <w:shd w:val="clear" w:color="auto" w:fill="FFFFFF"/>
              </w:rPr>
              <w:t>大型沼气工程</w:t>
            </w:r>
          </w:p>
        </w:tc>
      </w:tr>
      <w:tr w:rsidR="006A5148">
        <w:trPr>
          <w:trHeight w:val="1319"/>
        </w:trPr>
        <w:tc>
          <w:tcPr>
            <w:tcW w:w="2458" w:type="dxa"/>
            <w:vMerge/>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p>
        </w:tc>
        <w:tc>
          <w:tcPr>
            <w:tcW w:w="2655" w:type="dxa"/>
            <w:vMerge/>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p>
        </w:tc>
        <w:tc>
          <w:tcPr>
            <w:tcW w:w="354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b/>
                <w:bCs/>
                <w:shd w:val="clear" w:color="auto" w:fill="FFFFFF"/>
              </w:rPr>
            </w:pPr>
            <w:r>
              <w:rPr>
                <w:rFonts w:ascii="Times New Roman" w:eastAsia="方正仿宋_GBK" w:hAnsi="Times New Roman" w:cs="Times New Roman"/>
                <w:b/>
                <w:bCs/>
                <w:shd w:val="clear" w:color="auto" w:fill="FFFFFF"/>
              </w:rPr>
              <w:t>2018</w:t>
            </w:r>
            <w:r>
              <w:rPr>
                <w:rFonts w:ascii="Times New Roman" w:eastAsia="方正仿宋_GBK" w:hAnsi="Times New Roman" w:cs="方正仿宋_GBK" w:hint="eastAsia"/>
                <w:b/>
                <w:bCs/>
                <w:shd w:val="clear" w:color="auto" w:fill="FFFFFF"/>
              </w:rPr>
              <w:t>年建设项目数（个）</w:t>
            </w:r>
          </w:p>
        </w:tc>
      </w:tr>
      <w:tr w:rsidR="006A5148">
        <w:trPr>
          <w:trHeight w:val="764"/>
        </w:trPr>
        <w:tc>
          <w:tcPr>
            <w:tcW w:w="2458"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合计</w:t>
            </w:r>
          </w:p>
        </w:tc>
        <w:tc>
          <w:tcPr>
            <w:tcW w:w="265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354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r w:rsidR="006A5148">
        <w:trPr>
          <w:trHeight w:val="764"/>
        </w:trPr>
        <w:tc>
          <w:tcPr>
            <w:tcW w:w="2458"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方正仿宋_GBK" w:hint="eastAsia"/>
                <w:sz w:val="28"/>
                <w:szCs w:val="28"/>
                <w:shd w:val="clear" w:color="auto" w:fill="FFFFFF"/>
              </w:rPr>
              <w:t>漠沙</w:t>
            </w:r>
          </w:p>
        </w:tc>
        <w:tc>
          <w:tcPr>
            <w:tcW w:w="2655"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c>
          <w:tcPr>
            <w:tcW w:w="3540" w:type="dxa"/>
          </w:tcPr>
          <w:p w:rsidR="006A5148" w:rsidRDefault="006A5148">
            <w:pPr>
              <w:pStyle w:val="a3"/>
              <w:spacing w:before="0" w:beforeAutospacing="0" w:after="226" w:afterAutospacing="0" w:line="540" w:lineRule="atLeast"/>
              <w:jc w:val="center"/>
              <w:rPr>
                <w:rFonts w:ascii="Times New Roman" w:eastAsia="方正仿宋_GBK" w:hAnsi="Times New Roman" w:cs="Times New Roman"/>
                <w:sz w:val="28"/>
                <w:szCs w:val="28"/>
                <w:shd w:val="clear" w:color="auto" w:fill="FFFFFF"/>
              </w:rPr>
            </w:pPr>
            <w:r>
              <w:rPr>
                <w:rFonts w:ascii="Times New Roman" w:eastAsia="方正仿宋_GBK" w:hAnsi="Times New Roman" w:cs="Times New Roman"/>
                <w:sz w:val="28"/>
                <w:szCs w:val="28"/>
                <w:shd w:val="clear" w:color="auto" w:fill="FFFFFF"/>
              </w:rPr>
              <w:t>1</w:t>
            </w:r>
          </w:p>
        </w:tc>
      </w:tr>
    </w:tbl>
    <w:p w:rsidR="006A5148" w:rsidRDefault="006A5148" w:rsidP="00467443">
      <w:pPr>
        <w:spacing w:line="360" w:lineRule="exact"/>
        <w:ind w:leftChars="152" w:left="949" w:hangingChars="300" w:hanging="630"/>
        <w:rPr>
          <w:rFonts w:ascii="Times New Roman" w:eastAsia="方正仿宋_GBK" w:hAnsi="Times New Roman" w:cs="Times New Roman"/>
        </w:rPr>
      </w:pPr>
    </w:p>
    <w:p w:rsidR="006A5148" w:rsidRDefault="006A5148">
      <w:pPr>
        <w:rPr>
          <w:rFonts w:cs="Times New Roman"/>
        </w:rPr>
      </w:pPr>
    </w:p>
    <w:sectPr w:rsidR="006A5148" w:rsidSect="001204EA">
      <w:headerReference w:type="default" r:id="rId6"/>
      <w:footerReference w:type="default" r:id="rId7"/>
      <w:pgSz w:w="11850" w:h="16783"/>
      <w:pgMar w:top="2098" w:right="1361" w:bottom="1984" w:left="1361" w:header="851" w:footer="992" w:gutter="22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E0" w:rsidRDefault="000118E0" w:rsidP="001204EA">
      <w:pPr>
        <w:rPr>
          <w:rFonts w:cs="Times New Roman"/>
        </w:rPr>
      </w:pPr>
      <w:r>
        <w:rPr>
          <w:rFonts w:cs="Times New Roman"/>
        </w:rPr>
        <w:separator/>
      </w:r>
    </w:p>
  </w:endnote>
  <w:endnote w:type="continuationSeparator" w:id="1">
    <w:p w:rsidR="000118E0" w:rsidRDefault="000118E0" w:rsidP="001204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48" w:rsidRDefault="00F83FDA">
    <w:pPr>
      <w:rPr>
        <w:rFonts w:cs="Times New Roman"/>
      </w:rPr>
    </w:pPr>
    <w:r w:rsidRPr="00F83FDA">
      <w:rPr>
        <w:noProof/>
      </w:rPr>
      <w:pict>
        <v:shapetype id="_x0000_t202" coordsize="21600,21600" o:spt="202" path="m,l,21600r21600,l21600,xe">
          <v:stroke joinstyle="miter"/>
          <v:path gradientshapeok="t" o:connecttype="rect"/>
        </v:shapetype>
        <v:shape id="_x0000_s2049" type="#_x0000_t202" style="position:absolute;left:0;text-align:left;margin-left:380.1pt;margin-top:-27.75pt;width:2in;height:2in;z-index:251660288;mso-wrap-style:none;mso-position-horizontal-relative:margin" filled="f" stroked="f">
          <v:textbox style="mso-fit-shape-to-text:t" inset="0,0,0,0">
            <w:txbxContent>
              <w:p w:rsidR="006A5148" w:rsidRDefault="006A5148">
                <w:pPr>
                  <w:snapToGrid w:val="0"/>
                  <w:rPr>
                    <w:rFonts w:ascii="Times New Roman" w:hAnsi="Times New Roman" w:cs="Times New Roman"/>
                    <w:sz w:val="28"/>
                    <w:szCs w:val="28"/>
                  </w:rPr>
                </w:pPr>
                <w:r>
                  <w:rPr>
                    <w:rFonts w:ascii="Times New Roman" w:hAnsi="Times New Roman" w:cs="Times New Roman"/>
                    <w:sz w:val="28"/>
                    <w:szCs w:val="28"/>
                  </w:rPr>
                  <w:t xml:space="preserve">— </w:t>
                </w:r>
                <w:r w:rsidR="00F83FD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83FDA">
                  <w:rPr>
                    <w:rFonts w:ascii="Times New Roman" w:hAnsi="Times New Roman" w:cs="Times New Roman"/>
                    <w:sz w:val="28"/>
                    <w:szCs w:val="28"/>
                  </w:rPr>
                  <w:fldChar w:fldCharType="separate"/>
                </w:r>
                <w:r w:rsidR="00467443">
                  <w:rPr>
                    <w:rFonts w:ascii="Times New Roman" w:hAnsi="Times New Roman" w:cs="Times New Roman"/>
                    <w:noProof/>
                    <w:sz w:val="28"/>
                    <w:szCs w:val="28"/>
                  </w:rPr>
                  <w:t>6</w:t>
                </w:r>
                <w:r w:rsidR="00F83FDA">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E0" w:rsidRDefault="000118E0" w:rsidP="001204EA">
      <w:pPr>
        <w:rPr>
          <w:rFonts w:cs="Times New Roman"/>
        </w:rPr>
      </w:pPr>
      <w:r>
        <w:rPr>
          <w:rFonts w:cs="Times New Roman"/>
        </w:rPr>
        <w:separator/>
      </w:r>
    </w:p>
  </w:footnote>
  <w:footnote w:type="continuationSeparator" w:id="1">
    <w:p w:rsidR="000118E0" w:rsidRDefault="000118E0" w:rsidP="001204E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48" w:rsidRDefault="006A5148" w:rsidP="00E16F77">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4EA"/>
    <w:rsid w:val="000118E0"/>
    <w:rsid w:val="001204EA"/>
    <w:rsid w:val="004117A6"/>
    <w:rsid w:val="00467443"/>
    <w:rsid w:val="006A5148"/>
    <w:rsid w:val="009F73D9"/>
    <w:rsid w:val="00E16F77"/>
    <w:rsid w:val="00F83FDA"/>
    <w:rsid w:val="02150EE3"/>
    <w:rsid w:val="1DA40BC6"/>
    <w:rsid w:val="223E3DF5"/>
    <w:rsid w:val="2DDC4FBF"/>
    <w:rsid w:val="429F09AA"/>
    <w:rsid w:val="51A5741A"/>
    <w:rsid w:val="538060EE"/>
    <w:rsid w:val="7EF81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EA"/>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04E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E16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B5607"/>
    <w:rPr>
      <w:rFonts w:cs="Calibri"/>
      <w:sz w:val="18"/>
      <w:szCs w:val="18"/>
    </w:rPr>
  </w:style>
  <w:style w:type="paragraph" w:styleId="a5">
    <w:name w:val="footer"/>
    <w:basedOn w:val="a"/>
    <w:link w:val="Char0"/>
    <w:uiPriority w:val="99"/>
    <w:rsid w:val="00E16F7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B5607"/>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2214</Characters>
  <Application>Microsoft Office Word</Application>
  <DocSecurity>0</DocSecurity>
  <Lines>18</Lines>
  <Paragraphs>5</Paragraphs>
  <ScaleCrop>false</ScaleCrop>
  <Company>微软中国</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2018-12-29T01:43:00Z</dcterms:created>
  <dcterms:modified xsi:type="dcterms:W3CDTF">2018-12-29T01:43:00Z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