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
          <w:b/>
          <w:bCs/>
          <w:sz w:val="32"/>
          <w:szCs w:val="32"/>
          <w:lang w:eastAsia="zh-CN"/>
        </w:rPr>
      </w:pPr>
      <w:r>
        <mc:AlternateContent>
          <mc:Choice Requires="wps">
            <w:drawing>
              <wp:anchor distT="0" distB="0" distL="114300" distR="114300" simplePos="0" relativeHeight="251660288" behindDoc="0" locked="0" layoutInCell="1" allowOverlap="1">
                <wp:simplePos x="0" y="0"/>
                <wp:positionH relativeFrom="column">
                  <wp:posOffset>3255010</wp:posOffset>
                </wp:positionH>
                <wp:positionV relativeFrom="paragraph">
                  <wp:posOffset>1495425</wp:posOffset>
                </wp:positionV>
                <wp:extent cx="1969770" cy="650240"/>
                <wp:effectExtent l="0" t="0" r="11430" b="16510"/>
                <wp:wrapNone/>
                <wp:docPr id="12" name="文本框 12"/>
                <wp:cNvGraphicFramePr/>
                <a:graphic xmlns:a="http://schemas.openxmlformats.org/drawingml/2006/main">
                  <a:graphicData uri="http://schemas.microsoft.com/office/word/2010/wordprocessingShape">
                    <wps:wsp>
                      <wps:cNvSpPr txBox="1"/>
                      <wps:spPr>
                        <a:xfrm>
                          <a:off x="0" y="0"/>
                          <a:ext cx="1969770" cy="650240"/>
                        </a:xfrm>
                        <a:prstGeom prst="rect">
                          <a:avLst/>
                        </a:prstGeom>
                        <a:solidFill>
                          <a:srgbClr val="FFFFFF"/>
                        </a:solidFill>
                        <a:ln w="6350">
                          <a:noFill/>
                        </a:ln>
                        <a:effectLst/>
                      </wps:spPr>
                      <wps:txbx>
                        <w:txbxContent>
                          <w:p>
                            <w:pPr>
                              <w:rPr>
                                <w:rFonts w:ascii="楷体_GB2312" w:eastAsia="楷体_GB2312"/>
                                <w:sz w:val="24"/>
                              </w:rPr>
                            </w:pPr>
                          </w:p>
                          <w:p>
                            <w:pPr>
                              <w:rPr>
                                <w:rFonts w:ascii="楷体_GB2312" w:eastAsia="楷体_GB2312"/>
                                <w:sz w:val="24"/>
                              </w:rPr>
                            </w:pPr>
                          </w:p>
                          <w:p>
                            <w:r>
                              <w:rPr>
                                <w:rFonts w:hint="eastAsia" w:ascii="楷体_GB2312" w:eastAsia="楷体_GB2312"/>
                                <w:sz w:val="24"/>
                              </w:rPr>
                              <w:t>二</w:t>
                            </w:r>
                            <w:r>
                              <w:rPr>
                                <w:rFonts w:hint="eastAsia" w:ascii="楷体_GB2312"/>
                                <w:sz w:val="24"/>
                              </w:rPr>
                              <w:t>〇</w:t>
                            </w:r>
                            <w:r>
                              <w:rPr>
                                <w:rFonts w:hint="eastAsia" w:ascii="楷体_GB2312" w:eastAsia="楷体_GB2312"/>
                                <w:sz w:val="24"/>
                              </w:rPr>
                              <w:t>一</w:t>
                            </w:r>
                            <w:r>
                              <w:rPr>
                                <w:rFonts w:hint="eastAsia" w:ascii="楷体_GB2312" w:eastAsia="楷体_GB2312"/>
                                <w:sz w:val="24"/>
                                <w:lang w:eastAsia="zh-CN"/>
                              </w:rPr>
                              <w:t>九</w:t>
                            </w:r>
                            <w:r>
                              <w:rPr>
                                <w:rFonts w:hint="eastAsia" w:ascii="楷体_GB2312" w:eastAsia="楷体_GB2312"/>
                                <w:sz w:val="24"/>
                              </w:rPr>
                              <w:t>年</w:t>
                            </w:r>
                            <w:r>
                              <w:rPr>
                                <w:rFonts w:hint="eastAsia" w:ascii="楷体_GB2312" w:eastAsia="楷体_GB2312"/>
                                <w:sz w:val="24"/>
                                <w:lang w:eastAsia="zh-CN"/>
                              </w:rPr>
                              <w:t>八</w:t>
                            </w:r>
                            <w:r>
                              <w:rPr>
                                <w:rFonts w:hint="eastAsia" w:ascii="楷体_GB2312" w:eastAsia="楷体_GB2312"/>
                                <w:sz w:val="24"/>
                              </w:rPr>
                              <w:t>月</w:t>
                            </w:r>
                            <w:r>
                              <w:rPr>
                                <w:rFonts w:hint="eastAsia" w:ascii="楷体_GB2312" w:eastAsia="楷体_GB2312"/>
                                <w:sz w:val="24"/>
                                <w:lang w:eastAsia="zh-CN"/>
                              </w:rPr>
                              <w:t>十二</w:t>
                            </w:r>
                            <w:r>
                              <w:rPr>
                                <w:rFonts w:hint="eastAsia" w:ascii="楷体_GB2312" w:eastAsia="楷体_GB2312"/>
                                <w:sz w:val="24"/>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3pt;margin-top:117.75pt;height:51.2pt;width:155.1pt;z-index:251660288;mso-width-relative:page;mso-height-relative:page;" fillcolor="#FFFFFF" filled="t" stroked="f" coordsize="21600,21600" o:gfxdata="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EcPULXAAAACwEAAA8AAAAAAAAAAQAgAAAAIgAAAGRycy9k&#10;b3ducmV2LnhtbFBLAQIUABQAAAAIAIdO4kCAr2z9PAIAAFEEAAAOAAAAAAAAAAEAIAAAACYBAABk&#10;cnMvZTJvRG9jLnhtbFBLBQYAAAAABgAGAFkBAADUBQAAAAA=&#10;">
                <v:fill on="t" focussize="0,0"/>
                <v:stroke on="f" weight="0.5pt"/>
                <v:imagedata o:title=""/>
                <o:lock v:ext="edit" aspectratio="f"/>
                <v:textbox>
                  <w:txbxContent>
                    <w:p>
                      <w:pPr>
                        <w:rPr>
                          <w:rFonts w:ascii="楷体_GB2312" w:eastAsia="楷体_GB2312"/>
                          <w:sz w:val="24"/>
                        </w:rPr>
                      </w:pPr>
                    </w:p>
                    <w:p>
                      <w:pPr>
                        <w:rPr>
                          <w:rFonts w:ascii="楷体_GB2312" w:eastAsia="楷体_GB2312"/>
                          <w:sz w:val="24"/>
                        </w:rPr>
                      </w:pPr>
                    </w:p>
                    <w:p>
                      <w:r>
                        <w:rPr>
                          <w:rFonts w:hint="eastAsia" w:ascii="楷体_GB2312" w:eastAsia="楷体_GB2312"/>
                          <w:sz w:val="24"/>
                        </w:rPr>
                        <w:t>二</w:t>
                      </w:r>
                      <w:r>
                        <w:rPr>
                          <w:rFonts w:hint="eastAsia" w:ascii="楷体_GB2312"/>
                          <w:sz w:val="24"/>
                        </w:rPr>
                        <w:t>〇</w:t>
                      </w:r>
                      <w:r>
                        <w:rPr>
                          <w:rFonts w:hint="eastAsia" w:ascii="楷体_GB2312" w:eastAsia="楷体_GB2312"/>
                          <w:sz w:val="24"/>
                        </w:rPr>
                        <w:t>一</w:t>
                      </w:r>
                      <w:r>
                        <w:rPr>
                          <w:rFonts w:hint="eastAsia" w:ascii="楷体_GB2312" w:eastAsia="楷体_GB2312"/>
                          <w:sz w:val="24"/>
                          <w:lang w:eastAsia="zh-CN"/>
                        </w:rPr>
                        <w:t>九</w:t>
                      </w:r>
                      <w:r>
                        <w:rPr>
                          <w:rFonts w:hint="eastAsia" w:ascii="楷体_GB2312" w:eastAsia="楷体_GB2312"/>
                          <w:sz w:val="24"/>
                        </w:rPr>
                        <w:t>年</w:t>
                      </w:r>
                      <w:r>
                        <w:rPr>
                          <w:rFonts w:hint="eastAsia" w:ascii="楷体_GB2312" w:eastAsia="楷体_GB2312"/>
                          <w:sz w:val="24"/>
                          <w:lang w:eastAsia="zh-CN"/>
                        </w:rPr>
                        <w:t>八</w:t>
                      </w:r>
                      <w:r>
                        <w:rPr>
                          <w:rFonts w:hint="eastAsia" w:ascii="楷体_GB2312" w:eastAsia="楷体_GB2312"/>
                          <w:sz w:val="24"/>
                        </w:rPr>
                        <w:t>月</w:t>
                      </w:r>
                      <w:r>
                        <w:rPr>
                          <w:rFonts w:hint="eastAsia" w:ascii="楷体_GB2312" w:eastAsia="楷体_GB2312"/>
                          <w:sz w:val="24"/>
                          <w:lang w:eastAsia="zh-CN"/>
                        </w:rPr>
                        <w:t>十二</w:t>
                      </w:r>
                      <w:r>
                        <w:rPr>
                          <w:rFonts w:hint="eastAsia" w:ascii="楷体_GB2312" w:eastAsia="楷体_GB2312"/>
                          <w:sz w:val="24"/>
                        </w:rPr>
                        <w:t>日</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1853565</wp:posOffset>
                </wp:positionH>
                <wp:positionV relativeFrom="paragraph">
                  <wp:posOffset>1260475</wp:posOffset>
                </wp:positionV>
                <wp:extent cx="1301750" cy="496570"/>
                <wp:effectExtent l="0" t="0" r="12700" b="17780"/>
                <wp:wrapNone/>
                <wp:docPr id="11" name="文本框 11"/>
                <wp:cNvGraphicFramePr/>
                <a:graphic xmlns:a="http://schemas.openxmlformats.org/drawingml/2006/main">
                  <a:graphicData uri="http://schemas.microsoft.com/office/word/2010/wordprocessingShape">
                    <wps:wsp>
                      <wps:cNvSpPr txBox="1"/>
                      <wps:spPr>
                        <a:xfrm>
                          <a:off x="0" y="0"/>
                          <a:ext cx="1301750" cy="496570"/>
                        </a:xfrm>
                        <a:prstGeom prst="rect">
                          <a:avLst/>
                        </a:prstGeom>
                        <a:solidFill>
                          <a:srgbClr val="FFFFFF"/>
                        </a:solidFill>
                        <a:ln w="6350">
                          <a:noFill/>
                        </a:ln>
                        <a:effectLst/>
                      </wps:spPr>
                      <wps:txbx>
                        <w:txbxContent>
                          <w:p>
                            <w:pPr>
                              <w:jc w:val="center"/>
                              <w:rPr>
                                <w:rFonts w:ascii="楷体_GB2312" w:eastAsia="楷体_GB2312"/>
                                <w:sz w:val="30"/>
                                <w:szCs w:val="30"/>
                              </w:rPr>
                            </w:pPr>
                            <w:r>
                              <w:rPr>
                                <w:rFonts w:hint="eastAsia" w:ascii="楷体_GB2312" w:eastAsia="楷体_GB2312"/>
                                <w:sz w:val="30"/>
                                <w:szCs w:val="30"/>
                              </w:rPr>
                              <w:t>第</w:t>
                            </w:r>
                            <w:r>
                              <w:rPr>
                                <w:rFonts w:hint="eastAsia" w:ascii="楷体_GB2312" w:eastAsia="楷体_GB2312"/>
                                <w:sz w:val="30"/>
                                <w:szCs w:val="30"/>
                                <w:lang w:val="en-US" w:eastAsia="zh-CN"/>
                              </w:rPr>
                              <w:t>五十二</w:t>
                            </w:r>
                            <w:r>
                              <w:rPr>
                                <w:rFonts w:hint="eastAsia" w:ascii="楷体_GB2312" w:eastAsia="楷体_GB2312"/>
                                <w:sz w:val="30"/>
                                <w:szCs w:val="30"/>
                              </w:rPr>
                              <w:t>期</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95pt;margin-top:99.25pt;height:39.1pt;width:102.5pt;z-index:251659264;mso-width-relative:page;mso-height-relative:page;" fillcolor="#FFFFFF" filled="t" stroked="f" coordsize="21600,21600" o:gfxdata="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rLKZNYAAAALAQAADwAAAAAAAAABACAAAAAiAAAAZHJzL2Rvd25y&#10;ZXYueG1sUEsBAhQAFAAAAAgAh07iQFkFOYI5AgAAUQQAAA4AAAAAAAAAAQAgAAAAJQEAAGRycy9l&#10;Mm9Eb2MueG1sUEsFBgAAAAAGAAYAWQEAANAFAAAAAA==&#10;">
                <v:fill on="t" focussize="0,0"/>
                <v:stroke on="f" weight="0.5pt"/>
                <v:imagedata o:title=""/>
                <o:lock v:ext="edit" aspectratio="f"/>
                <v:textbox>
                  <w:txbxContent>
                    <w:p>
                      <w:pPr>
                        <w:jc w:val="center"/>
                        <w:rPr>
                          <w:rFonts w:ascii="楷体_GB2312" w:eastAsia="楷体_GB2312"/>
                          <w:sz w:val="30"/>
                          <w:szCs w:val="30"/>
                        </w:rPr>
                      </w:pPr>
                      <w:r>
                        <w:rPr>
                          <w:rFonts w:hint="eastAsia" w:ascii="楷体_GB2312" w:eastAsia="楷体_GB2312"/>
                          <w:sz w:val="30"/>
                          <w:szCs w:val="30"/>
                        </w:rPr>
                        <w:t>第</w:t>
                      </w:r>
                      <w:r>
                        <w:rPr>
                          <w:rFonts w:hint="eastAsia" w:ascii="楷体_GB2312" w:eastAsia="楷体_GB2312"/>
                          <w:sz w:val="30"/>
                          <w:szCs w:val="30"/>
                          <w:lang w:val="en-US" w:eastAsia="zh-CN"/>
                        </w:rPr>
                        <w:t>五十二</w:t>
                      </w:r>
                      <w:r>
                        <w:rPr>
                          <w:rFonts w:hint="eastAsia" w:ascii="楷体_GB2312" w:eastAsia="楷体_GB2312"/>
                          <w:sz w:val="30"/>
                          <w:szCs w:val="30"/>
                        </w:rPr>
                        <w:t>期</w:t>
                      </w:r>
                    </w:p>
                    <w:p>
                      <w:pPr>
                        <w:jc w:val="center"/>
                      </w:pPr>
                    </w:p>
                  </w:txbxContent>
                </v:textbox>
              </v:shape>
            </w:pict>
          </mc:Fallback>
        </mc:AlternateContent>
      </w:r>
      <w:r>
        <w:rPr>
          <w:rFonts w:ascii="黑体" w:eastAsia="黑体"/>
          <w:b/>
          <w:sz w:val="44"/>
          <w:szCs w:val="44"/>
        </w:rPr>
        <w:drawing>
          <wp:inline distT="0" distB="0" distL="114300" distR="114300">
            <wp:extent cx="5143500" cy="2200275"/>
            <wp:effectExtent l="0" t="0" r="0" b="9525"/>
            <wp:docPr id="1" name="图片 1" descr="扶贫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扶贫信息"/>
                    <pic:cNvPicPr>
                      <a:picLocks noChangeAspect="1"/>
                    </pic:cNvPicPr>
                  </pic:nvPicPr>
                  <pic:blipFill>
                    <a:blip r:embed="rId4"/>
                    <a:stretch>
                      <a:fillRect/>
                    </a:stretch>
                  </pic:blipFill>
                  <pic:spPr>
                    <a:xfrm>
                      <a:off x="0" y="0"/>
                      <a:ext cx="5143500" cy="22002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建兴乡新型经营主体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lang w:eastAsia="zh-CN"/>
        </w:rPr>
      </w:pPr>
      <w:r>
        <w:rPr>
          <w:rFonts w:hint="eastAsia" w:ascii="方正小标宋_GBK" w:hAnsi="方正小标宋_GBK" w:eastAsia="方正小标宋_GBK" w:cs="方正小标宋_GBK"/>
          <w:b w:val="0"/>
          <w:bCs w:val="0"/>
          <w:sz w:val="44"/>
          <w:szCs w:val="44"/>
          <w:lang w:eastAsia="zh-CN"/>
        </w:rPr>
        <w:t>带领贫困群众增收致富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i w:val="0"/>
          <w:caps w:val="0"/>
          <w:color w:val="000000"/>
          <w:spacing w:val="0"/>
          <w:sz w:val="32"/>
          <w:szCs w:val="32"/>
          <w:lang w:eastAsia="zh-CN"/>
        </w:rPr>
      </w:pPr>
      <w:r>
        <w:rPr>
          <w:rFonts w:hint="eastAsia" w:ascii="Times New Roman" w:hAnsi="Times New Roman" w:eastAsia="方正仿宋_GBK" w:cs="方正仿宋_GBK"/>
          <w:i w:val="0"/>
          <w:caps w:val="0"/>
          <w:color w:val="000000"/>
          <w:spacing w:val="0"/>
          <w:sz w:val="32"/>
          <w:szCs w:val="32"/>
        </w:rPr>
        <w:t>为进一步激发贫困群众产业脱贫的内生动力，</w:t>
      </w:r>
      <w:r>
        <w:rPr>
          <w:rFonts w:hint="eastAsia" w:ascii="Times New Roman" w:hAnsi="Times New Roman" w:eastAsia="方正仿宋_GBK" w:cs="方正仿宋_GBK"/>
          <w:i w:val="0"/>
          <w:caps w:val="0"/>
          <w:color w:val="000000"/>
          <w:spacing w:val="0"/>
          <w:sz w:val="32"/>
          <w:szCs w:val="32"/>
          <w:lang w:eastAsia="zh-CN"/>
        </w:rPr>
        <w:t>帮助贫困群众更好的融入到产业链中，增强其抵御市场风险能力，让新型经营主体的经营成果直接惠及贫困户，</w:t>
      </w:r>
      <w:r>
        <w:rPr>
          <w:rFonts w:hint="eastAsia" w:ascii="Times New Roman" w:hAnsi="Times New Roman" w:eastAsia="方正仿宋_GBK" w:cs="方正仿宋_GBK"/>
          <w:i w:val="0"/>
          <w:caps w:val="0"/>
          <w:color w:val="000000"/>
          <w:spacing w:val="0"/>
          <w:sz w:val="32"/>
          <w:szCs w:val="32"/>
        </w:rPr>
        <w:t>建兴乡把培育新型经营主体作为巩固提升脱贫攻坚成效的重要抓手，紧紧抓住</w:t>
      </w:r>
      <w:bookmarkStart w:id="0" w:name="_GoBack"/>
      <w:bookmarkEnd w:id="0"/>
      <w:r>
        <w:rPr>
          <w:rFonts w:hint="eastAsia" w:ascii="Times New Roman" w:hAnsi="Times New Roman" w:eastAsia="方正仿宋_GBK" w:cs="方正仿宋_GBK"/>
          <w:i w:val="0"/>
          <w:caps w:val="0"/>
          <w:color w:val="000000"/>
          <w:spacing w:val="0"/>
          <w:sz w:val="32"/>
          <w:szCs w:val="32"/>
        </w:rPr>
        <w:t>利益联结这个牛鼻子，通过发挥新型经营主体的带动作用，不断</w:t>
      </w:r>
      <w:r>
        <w:rPr>
          <w:rFonts w:hint="eastAsia" w:ascii="Times New Roman" w:hAnsi="Times New Roman" w:eastAsia="方正仿宋_GBK" w:cs="方正仿宋_GBK"/>
          <w:i w:val="0"/>
          <w:caps w:val="0"/>
          <w:color w:val="000000"/>
          <w:spacing w:val="0"/>
          <w:sz w:val="32"/>
          <w:szCs w:val="32"/>
          <w:lang w:eastAsia="zh-CN"/>
        </w:rPr>
        <w:t>带领贫困群众增收致富。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i w:val="0"/>
          <w:caps w:val="0"/>
          <w:color w:val="000000"/>
          <w:spacing w:val="0"/>
          <w:sz w:val="32"/>
          <w:szCs w:val="32"/>
          <w:lang w:val="en-US" w:eastAsia="zh-CN"/>
        </w:rPr>
      </w:pPr>
      <w:r>
        <w:rPr>
          <w:rFonts w:hint="eastAsia" w:ascii="Times New Roman" w:hAnsi="Times New Roman" w:eastAsia="方正仿宋_GBK" w:cs="方正仿宋_GBK"/>
          <w:i w:val="0"/>
          <w:caps w:val="0"/>
          <w:color w:val="000000"/>
          <w:spacing w:val="0"/>
          <w:sz w:val="32"/>
          <w:szCs w:val="32"/>
          <w:lang w:eastAsia="zh-CN"/>
        </w:rPr>
        <w:t>今年七月份以来，建兴乡七个村（社区）的新型经营主体带动工作初显成效。</w:t>
      </w:r>
      <w:r>
        <w:rPr>
          <w:rFonts w:hint="eastAsia" w:ascii="Times New Roman" w:hAnsi="Times New Roman" w:eastAsia="方正仿宋_GBK" w:cs="方正仿宋_GBK"/>
          <w:i w:val="0"/>
          <w:caps w:val="0"/>
          <w:color w:val="000000"/>
          <w:spacing w:val="0"/>
          <w:sz w:val="32"/>
          <w:szCs w:val="32"/>
        </w:rPr>
        <w:t>红叶香椿是今年</w:t>
      </w:r>
      <w:r>
        <w:rPr>
          <w:rFonts w:hint="eastAsia" w:ascii="Times New Roman" w:hAnsi="Times New Roman" w:eastAsia="方正仿宋_GBK" w:cs="方正仿宋_GBK"/>
          <w:i w:val="0"/>
          <w:caps w:val="0"/>
          <w:color w:val="000000"/>
          <w:spacing w:val="0"/>
          <w:sz w:val="32"/>
          <w:szCs w:val="32"/>
          <w:lang w:eastAsia="zh-CN"/>
        </w:rPr>
        <w:t>建兴乡</w:t>
      </w:r>
      <w:r>
        <w:rPr>
          <w:rFonts w:hint="eastAsia" w:ascii="Times New Roman" w:hAnsi="Times New Roman" w:eastAsia="方正仿宋_GBK" w:cs="方正仿宋_GBK"/>
          <w:i w:val="0"/>
          <w:caps w:val="0"/>
          <w:color w:val="000000"/>
          <w:spacing w:val="0"/>
          <w:sz w:val="32"/>
          <w:szCs w:val="32"/>
        </w:rPr>
        <w:t>盘龙村引进新平峨德综宏蔬菜发展有限公司到当地带动贫困户发展的第一个产业，具有种植成本低，经济效益高等优势。为打消贫困户发展顾虑，提高种植热情，盘龙村以“公司+贫困户”的模式把公司和农户绑定发展，公司与农户直接签订种植合同，解决了农户在产业发展中不敢种、不会种、销售难等问题，让农户吃下了发展的定心丸，目前盘龙村共种植红叶香椿50000株，460余亩，种植农户176户，其中建档立卡户87户。</w:t>
      </w:r>
      <w:r>
        <w:rPr>
          <w:rFonts w:hint="eastAsia" w:ascii="Times New Roman" w:hAnsi="Times New Roman" w:eastAsia="方正仿宋_GBK" w:cs="方正仿宋_GBK"/>
          <w:i w:val="0"/>
          <w:caps w:val="0"/>
          <w:color w:val="000000"/>
          <w:spacing w:val="0"/>
          <w:sz w:val="32"/>
          <w:szCs w:val="32"/>
          <w:lang w:eastAsia="zh-CN"/>
        </w:rPr>
        <w:t>此外，</w:t>
      </w:r>
      <w:r>
        <w:rPr>
          <w:rFonts w:hint="eastAsia" w:ascii="Times New Roman" w:hAnsi="Times New Roman" w:eastAsia="方正仿宋_GBK" w:cs="方正仿宋_GBK"/>
          <w:i w:val="0"/>
          <w:caps w:val="0"/>
          <w:color w:val="000000"/>
          <w:spacing w:val="0"/>
          <w:sz w:val="32"/>
          <w:szCs w:val="32"/>
        </w:rPr>
        <w:t>建兴乡挖窖村也在新型经营主体带动贫困户增收的道路上迈出了坚实的一步。以“公司+合作社+贫困户”和党员示范带动的模式引导农户积极调整产业结构，大力发展新兴产业冬瓜种植。合作社发挥桥梁纽带作用，做好群众发动和技术指导工作，公司按照协议做好育苗供应，并按照每公斤1.2元的最低保护价进行统一收购，确保了农户种植有计划、栽种有技术、销售有出路，生产有效益，目前挖窖村共完成冬瓜种植51亩，种植农户37户，其中建档立卡户16户，为群众持续增收奠定了坚实基础。</w:t>
      </w:r>
      <w:r>
        <w:rPr>
          <w:rFonts w:hint="eastAsia" w:ascii="Times New Roman" w:hAnsi="Times New Roman" w:eastAsia="方正仿宋_GBK" w:cs="方正仿宋_GBK"/>
          <w:i w:val="0"/>
          <w:caps w:val="0"/>
          <w:color w:val="000000"/>
          <w:spacing w:val="0"/>
          <w:sz w:val="32"/>
          <w:szCs w:val="32"/>
          <w:lang w:eastAsia="zh-CN"/>
        </w:rPr>
        <w:t>建兴乡磨味村现有</w:t>
      </w:r>
      <w:r>
        <w:rPr>
          <w:rFonts w:hint="eastAsia" w:ascii="Times New Roman" w:hAnsi="Times New Roman" w:eastAsia="方正仿宋_GBK" w:cs="方正仿宋_GBK"/>
          <w:i w:val="0"/>
          <w:caps w:val="0"/>
          <w:color w:val="000000"/>
          <w:spacing w:val="0"/>
          <w:sz w:val="32"/>
          <w:szCs w:val="32"/>
          <w:lang w:val="en-US" w:eastAsia="zh-CN"/>
        </w:rPr>
        <w:t>28户建档立卡户有意向与新平鸿誉公司签订露水草种植合同，有15-20户农户有意向与当地养殖大户合作，通过向养殖大户学习养鸡、养猪的经验来更好的改进提高养殖方法。</w:t>
      </w:r>
      <w:r>
        <w:rPr>
          <w:rFonts w:hint="eastAsia" w:ascii="Times New Roman" w:hAnsi="Times New Roman" w:eastAsia="方正仿宋_GBK" w:cs="方正仿宋_GBK"/>
          <w:i w:val="0"/>
          <w:caps w:val="0"/>
          <w:color w:val="000000"/>
          <w:spacing w:val="0"/>
          <w:sz w:val="32"/>
          <w:szCs w:val="32"/>
        </w:rPr>
        <w:t>据初步统计，</w:t>
      </w:r>
      <w:r>
        <w:rPr>
          <w:rFonts w:hint="eastAsia" w:ascii="Times New Roman" w:hAnsi="Times New Roman" w:eastAsia="方正仿宋_GBK" w:cs="方正仿宋_GBK"/>
          <w:i w:val="0"/>
          <w:caps w:val="0"/>
          <w:color w:val="000000"/>
          <w:spacing w:val="0"/>
          <w:sz w:val="32"/>
          <w:szCs w:val="32"/>
          <w:lang w:eastAsia="zh-CN"/>
        </w:rPr>
        <w:t>全乡</w:t>
      </w:r>
      <w:r>
        <w:rPr>
          <w:rFonts w:hint="eastAsia" w:ascii="Times New Roman" w:hAnsi="Times New Roman" w:eastAsia="方正仿宋_GBK" w:cs="方正仿宋_GBK"/>
          <w:i w:val="0"/>
          <w:caps w:val="0"/>
          <w:color w:val="000000"/>
          <w:spacing w:val="0"/>
          <w:sz w:val="32"/>
          <w:szCs w:val="32"/>
          <w:lang w:val="en-US" w:eastAsia="zh-CN"/>
        </w:rPr>
        <w:t>有11个企业经营主体、15个家庭农场主意向性带动530户建档立卡贫困户发展产业；有477户建档立卡户意向借贷小额信贷共计2385万元</w:t>
      </w:r>
      <w:r>
        <w:rPr>
          <w:rFonts w:hint="eastAsia" w:ascii="Times New Roman" w:hAnsi="Times New Roman" w:eastAsia="方正仿宋_GBK" w:cs="方正仿宋_GBK"/>
          <w:i w:val="0"/>
          <w:caps w:val="0"/>
          <w:color w:val="000000"/>
          <w:spacing w:val="0"/>
          <w:sz w:val="32"/>
          <w:szCs w:val="32"/>
          <w:lang w:eastAsia="zh-CN"/>
        </w:rPr>
        <w:t>。目前已真正签订产业带贫协议</w:t>
      </w:r>
      <w:r>
        <w:rPr>
          <w:rFonts w:hint="eastAsia" w:ascii="Times New Roman" w:hAnsi="Times New Roman" w:eastAsia="方正仿宋_GBK" w:cs="方正仿宋_GBK"/>
          <w:i w:val="0"/>
          <w:caps w:val="0"/>
          <w:color w:val="000000"/>
          <w:spacing w:val="0"/>
          <w:sz w:val="32"/>
          <w:szCs w:val="32"/>
          <w:lang w:val="en-US" w:eastAsia="zh-CN"/>
        </w:rPr>
        <w:t>297户（产业主要涉及香椿、冬瓜、蔬菜、药材、烤烟、猪、牛、羊等），其余建档立卡户带贫协议正在筹划中，已进入待签协议阶段。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rPr>
        <w:t>推动新型经营主体与贫困户建立利益联结机制，能够把企业的技术、信息、市场与农户的劳动力、土地资源相结合，形成强大的发展合力，有利于在做大做强现有产业的同时，加快产业结构调整，开辟新的增收渠道</w:t>
      </w:r>
      <w:r>
        <w:rPr>
          <w:rFonts w:hint="eastAsia" w:ascii="Times New Roman" w:hAnsi="Times New Roman" w:eastAsia="方正仿宋_GBK" w:cs="方正仿宋_GBK"/>
          <w:i w:val="0"/>
          <w:caps w:val="0"/>
          <w:color w:val="000000"/>
          <w:spacing w:val="0"/>
          <w:sz w:val="32"/>
          <w:szCs w:val="32"/>
          <w:lang w:eastAsia="zh-CN"/>
        </w:rPr>
        <w:t>，</w:t>
      </w:r>
      <w:r>
        <w:rPr>
          <w:rFonts w:hint="eastAsia" w:ascii="Times New Roman" w:hAnsi="Times New Roman" w:eastAsia="方正仿宋_GBK" w:cs="方正仿宋_GBK"/>
          <w:i w:val="0"/>
          <w:caps w:val="0"/>
          <w:color w:val="000000"/>
          <w:spacing w:val="0"/>
          <w:sz w:val="32"/>
          <w:szCs w:val="32"/>
        </w:rPr>
        <w:t>不断提高贫困户发展</w:t>
      </w:r>
      <w:r>
        <w:rPr>
          <w:rFonts w:hint="eastAsia" w:ascii="Times New Roman" w:hAnsi="Times New Roman" w:eastAsia="方正仿宋_GBK" w:cs="方正仿宋_GBK"/>
          <w:i w:val="0"/>
          <w:caps w:val="0"/>
          <w:color w:val="000000"/>
          <w:spacing w:val="0"/>
          <w:sz w:val="32"/>
          <w:szCs w:val="32"/>
          <w:lang w:eastAsia="zh-CN"/>
        </w:rPr>
        <w:t>产业</w:t>
      </w:r>
      <w:r>
        <w:rPr>
          <w:rFonts w:hint="eastAsia" w:ascii="Times New Roman" w:hAnsi="Times New Roman" w:eastAsia="方正仿宋_GBK" w:cs="方正仿宋_GBK"/>
          <w:i w:val="0"/>
          <w:caps w:val="0"/>
          <w:color w:val="000000"/>
          <w:spacing w:val="0"/>
          <w:sz w:val="32"/>
          <w:szCs w:val="32"/>
        </w:rPr>
        <w:t>的积极性和主动性。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i w:val="0"/>
          <w:caps w:val="0"/>
          <w:color w:val="000000"/>
          <w:spacing w:val="0"/>
          <w:sz w:val="32"/>
          <w:szCs w:val="32"/>
          <w:lang w:eastAsia="zh-CN"/>
        </w:rPr>
      </w:pPr>
      <w:r>
        <w:rPr>
          <w:rFonts w:hint="eastAsia" w:ascii="Times New Roman" w:hAnsi="Times New Roman" w:eastAsia="方正仿宋_GBK" w:cs="方正仿宋_GBK"/>
          <w:i w:val="0"/>
          <w:caps w:val="0"/>
          <w:color w:val="000000"/>
          <w:spacing w:val="0"/>
          <w:sz w:val="32"/>
          <w:szCs w:val="32"/>
          <w:lang w:eastAsia="zh-CN"/>
        </w:rPr>
        <w:t>建兴乡下一步将争取把更多的贫困户带入到新型经营主体这一模式中来，确保让新型经营主体的经营成果直接惠及贫困户，全面提高建档立卡贫困户的受益面，带领贫困群众增收致富。（建兴乡供稿）</w:t>
      </w:r>
    </w:p>
    <w:sectPr>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3F38"/>
    <w:rsid w:val="05CA2430"/>
    <w:rsid w:val="1D7D735F"/>
    <w:rsid w:val="1F0E3080"/>
    <w:rsid w:val="565C349D"/>
    <w:rsid w:val="729E5EFD"/>
    <w:rsid w:val="7A7F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正文首行缩进 21"/>
    <w:basedOn w:val="1"/>
    <w:qFormat/>
    <w:uiPriority w:val="99"/>
    <w:pPr>
      <w:spacing w:before="100" w:beforeAutospacing="1" w:after="120"/>
      <w:ind w:left="20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2019-08-23T03:04:29Z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