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83" w:rsidRDefault="00D2271C" w:rsidP="00E81383">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新平县中医医院2018年度部门</w:t>
      </w:r>
    </w:p>
    <w:p w:rsidR="00AD5705" w:rsidRDefault="00D2271C" w:rsidP="00E81383">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决算公开说明</w:t>
      </w:r>
    </w:p>
    <w:p w:rsidR="00E81383" w:rsidRPr="00E81383" w:rsidRDefault="00E81383" w:rsidP="00E81383">
      <w:pPr>
        <w:jc w:val="left"/>
        <w:rPr>
          <w:rFonts w:ascii="仿宋_GB2312" w:eastAsia="仿宋_GB2312" w:hAnsi="黑体"/>
          <w:sz w:val="30"/>
          <w:szCs w:val="30"/>
        </w:rPr>
      </w:pPr>
      <w:r w:rsidRPr="00E81383">
        <w:rPr>
          <w:rFonts w:ascii="仿宋_GB2312" w:eastAsia="仿宋_GB2312" w:hAnsi="黑体" w:hint="eastAsia"/>
          <w:sz w:val="30"/>
          <w:szCs w:val="30"/>
        </w:rPr>
        <w:t>第一部分 单位概况</w:t>
      </w:r>
    </w:p>
    <w:p w:rsidR="00E81383" w:rsidRPr="00E81383" w:rsidRDefault="00E81383" w:rsidP="00E81383">
      <w:pPr>
        <w:spacing w:line="600" w:lineRule="atLeast"/>
        <w:rPr>
          <w:rFonts w:ascii="仿宋_GB2312" w:eastAsia="仿宋_GB2312" w:hAnsi="楷体"/>
          <w:sz w:val="30"/>
          <w:szCs w:val="30"/>
        </w:rPr>
      </w:pPr>
      <w:r w:rsidRPr="00E81383">
        <w:rPr>
          <w:rFonts w:ascii="仿宋_GB2312" w:eastAsia="仿宋_GB2312" w:hAnsi="楷体" w:hint="eastAsia"/>
          <w:sz w:val="30"/>
          <w:szCs w:val="30"/>
        </w:rPr>
        <w:t>一、主要职能</w:t>
      </w:r>
    </w:p>
    <w:p w:rsidR="00E81383" w:rsidRPr="00E81383" w:rsidRDefault="00E81383" w:rsidP="00E81383">
      <w:pPr>
        <w:spacing w:line="600" w:lineRule="exact"/>
        <w:rPr>
          <w:rFonts w:ascii="仿宋_GB2312" w:eastAsia="仿宋_GB2312" w:hAnsi="楷体"/>
          <w:sz w:val="30"/>
          <w:szCs w:val="30"/>
        </w:rPr>
      </w:pPr>
      <w:r w:rsidRPr="00E81383">
        <w:rPr>
          <w:rFonts w:ascii="仿宋_GB2312" w:eastAsia="仿宋_GB2312" w:hAnsi="楷体" w:hint="eastAsia"/>
          <w:sz w:val="30"/>
          <w:szCs w:val="30"/>
        </w:rPr>
        <w:t>二、部门基本情况</w:t>
      </w:r>
    </w:p>
    <w:p w:rsidR="00E81383" w:rsidRPr="00E81383" w:rsidRDefault="00E81383" w:rsidP="00E81383">
      <w:pPr>
        <w:jc w:val="left"/>
        <w:rPr>
          <w:rFonts w:ascii="仿宋_GB2312" w:eastAsia="仿宋_GB2312" w:hAnsi="黑体"/>
          <w:sz w:val="30"/>
          <w:szCs w:val="30"/>
        </w:rPr>
      </w:pPr>
      <w:r w:rsidRPr="00E81383">
        <w:rPr>
          <w:rFonts w:ascii="仿宋_GB2312" w:eastAsia="仿宋_GB2312" w:hAnsi="黑体" w:hint="eastAsia"/>
          <w:sz w:val="30"/>
          <w:szCs w:val="30"/>
        </w:rPr>
        <w:t>第二部分  2018年度部门决算表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一、收入支出决算总表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二、收入决算表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三、支出决算表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四、财政拨款收入支出决算总表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五、一般公共预算财政拨款收入支出决算表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六、一般公共预算财政拨款基本支出决算表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七、政府性基金预算财政拨款收入支出决算表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八、财政专户管理资金收入支出决算表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九、“三公”经费、行政参公单位机关运行经费情况表</w:t>
      </w:r>
    </w:p>
    <w:p w:rsidR="00E81383" w:rsidRPr="00E81383" w:rsidRDefault="00E81383" w:rsidP="00E81383">
      <w:pPr>
        <w:jc w:val="left"/>
        <w:rPr>
          <w:rFonts w:ascii="仿宋_GB2312" w:eastAsia="仿宋_GB2312" w:hAnsi="黑体"/>
          <w:sz w:val="30"/>
          <w:szCs w:val="30"/>
        </w:rPr>
      </w:pPr>
      <w:r w:rsidRPr="00E81383">
        <w:rPr>
          <w:rFonts w:ascii="仿宋_GB2312" w:eastAsia="仿宋_GB2312" w:hAnsi="黑体" w:hint="eastAsia"/>
          <w:sz w:val="30"/>
          <w:szCs w:val="30"/>
        </w:rPr>
        <w:t>第三部分  2018年度部门决算情况说明</w:t>
      </w:r>
    </w:p>
    <w:p w:rsidR="00E81383" w:rsidRPr="00E81383" w:rsidRDefault="00E81383" w:rsidP="00E81383">
      <w:pPr>
        <w:widowControl/>
        <w:snapToGrid w:val="0"/>
        <w:spacing w:before="100" w:after="100" w:line="600" w:lineRule="exact"/>
        <w:jc w:val="left"/>
        <w:rPr>
          <w:rFonts w:ascii="仿宋_GB2312" w:eastAsia="仿宋_GB2312" w:hAnsi="楷体"/>
          <w:sz w:val="30"/>
          <w:szCs w:val="30"/>
        </w:rPr>
      </w:pPr>
      <w:r w:rsidRPr="00E81383">
        <w:rPr>
          <w:rFonts w:ascii="仿宋_GB2312" w:eastAsia="仿宋_GB2312" w:hAnsi="楷体" w:hint="eastAsia"/>
          <w:sz w:val="30"/>
          <w:szCs w:val="30"/>
        </w:rPr>
        <w:t>一、收入决算情况说明</w:t>
      </w:r>
    </w:p>
    <w:p w:rsidR="00E81383" w:rsidRPr="00E81383" w:rsidRDefault="00E81383" w:rsidP="00E81383">
      <w:pPr>
        <w:spacing w:line="600" w:lineRule="exact"/>
        <w:rPr>
          <w:rFonts w:ascii="仿宋_GB2312" w:eastAsia="仿宋_GB2312" w:hAnsi="楷体"/>
          <w:sz w:val="30"/>
          <w:szCs w:val="30"/>
        </w:rPr>
      </w:pPr>
      <w:r w:rsidRPr="00E81383">
        <w:rPr>
          <w:rFonts w:ascii="仿宋_GB2312" w:eastAsia="仿宋_GB2312" w:hAnsi="楷体" w:hint="eastAsia"/>
          <w:sz w:val="30"/>
          <w:szCs w:val="30"/>
        </w:rPr>
        <w:t>二、支出决算情况说明</w:t>
      </w:r>
    </w:p>
    <w:p w:rsidR="00E81383" w:rsidRPr="00E81383" w:rsidRDefault="00E81383" w:rsidP="00E81383">
      <w:pPr>
        <w:widowControl/>
        <w:snapToGrid w:val="0"/>
        <w:spacing w:before="100" w:after="100" w:line="600" w:lineRule="exact"/>
        <w:jc w:val="left"/>
        <w:rPr>
          <w:rFonts w:ascii="仿宋_GB2312" w:eastAsia="仿宋_GB2312" w:hAnsi="楷体"/>
          <w:sz w:val="30"/>
          <w:szCs w:val="30"/>
        </w:rPr>
      </w:pPr>
      <w:r w:rsidRPr="00E81383">
        <w:rPr>
          <w:rFonts w:ascii="仿宋_GB2312" w:eastAsia="仿宋_GB2312" w:hAnsi="楷体" w:hint="eastAsia"/>
          <w:sz w:val="30"/>
          <w:szCs w:val="30"/>
        </w:rPr>
        <w:t>三、一般公共预算财政拨款支出决算情况说明</w:t>
      </w:r>
    </w:p>
    <w:p w:rsidR="00E81383" w:rsidRPr="00E81383" w:rsidRDefault="00E81383" w:rsidP="00E81383">
      <w:pPr>
        <w:widowControl/>
        <w:snapToGrid w:val="0"/>
        <w:spacing w:before="100" w:after="100" w:line="360" w:lineRule="auto"/>
        <w:jc w:val="left"/>
        <w:rPr>
          <w:rFonts w:ascii="仿宋_GB2312" w:eastAsia="仿宋_GB2312" w:hAnsi="楷体"/>
          <w:sz w:val="30"/>
          <w:szCs w:val="30"/>
        </w:rPr>
      </w:pPr>
      <w:r w:rsidRPr="00E81383">
        <w:rPr>
          <w:rFonts w:ascii="仿宋_GB2312" w:eastAsia="仿宋_GB2312" w:hAnsi="楷体" w:hint="eastAsia"/>
          <w:sz w:val="30"/>
          <w:szCs w:val="30"/>
        </w:rPr>
        <w:t>四、一般公共预算财政拨款“三公”经费支出决算情况说明</w:t>
      </w:r>
    </w:p>
    <w:p w:rsidR="00E81383" w:rsidRPr="00E81383" w:rsidRDefault="00E81383" w:rsidP="00E81383">
      <w:pPr>
        <w:widowControl/>
        <w:snapToGrid w:val="0"/>
        <w:spacing w:before="100" w:after="100" w:line="360" w:lineRule="auto"/>
        <w:jc w:val="left"/>
        <w:rPr>
          <w:rFonts w:ascii="仿宋_GB2312" w:eastAsia="仿宋_GB2312" w:hAnsi="黑体"/>
          <w:sz w:val="30"/>
          <w:szCs w:val="30"/>
        </w:rPr>
      </w:pPr>
      <w:r w:rsidRPr="00E81383">
        <w:rPr>
          <w:rFonts w:ascii="仿宋_GB2312" w:eastAsia="仿宋_GB2312" w:hAnsi="黑体" w:hint="eastAsia"/>
          <w:sz w:val="30"/>
          <w:szCs w:val="30"/>
        </w:rPr>
        <w:t>第四部分</w:t>
      </w:r>
      <w:r w:rsidRPr="00E81383">
        <w:rPr>
          <w:rFonts w:ascii="仿宋_GB2312" w:eastAsia="仿宋_GB2312" w:hAnsi="楷体" w:hint="eastAsia"/>
          <w:sz w:val="30"/>
          <w:szCs w:val="30"/>
        </w:rPr>
        <w:t xml:space="preserve">  </w:t>
      </w:r>
      <w:r w:rsidRPr="00E81383">
        <w:rPr>
          <w:rFonts w:ascii="仿宋_GB2312" w:eastAsia="仿宋_GB2312" w:hAnsi="黑体" w:hint="eastAsia"/>
          <w:sz w:val="30"/>
          <w:szCs w:val="30"/>
        </w:rPr>
        <w:t>其他重要事项及相关口径情况说明</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lastRenderedPageBreak/>
        <w:t>一、机关运行经费支出情况</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二、国有资产占用情况</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三、政府采购支出情况</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四、部门绩效自评情况</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（一）项目支出概况</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（二）项目支出绩效自评</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（三）项目绩效目标管理</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（四）2018部门整体支出绩效自评报告</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（五）部门整体支出绩效自评表</w:t>
      </w:r>
    </w:p>
    <w:p w:rsidR="00E81383" w:rsidRPr="00E81383" w:rsidRDefault="00E81383" w:rsidP="00E81383">
      <w:pPr>
        <w:jc w:val="left"/>
        <w:rPr>
          <w:rFonts w:ascii="仿宋_GB2312" w:eastAsia="仿宋_GB2312" w:hAnsi="楷体"/>
          <w:sz w:val="30"/>
          <w:szCs w:val="30"/>
        </w:rPr>
      </w:pPr>
      <w:r w:rsidRPr="00E81383">
        <w:rPr>
          <w:rFonts w:ascii="仿宋_GB2312" w:eastAsia="仿宋_GB2312" w:hAnsi="楷体" w:hint="eastAsia"/>
          <w:sz w:val="30"/>
          <w:szCs w:val="30"/>
        </w:rPr>
        <w:t>五、其他重要事项情况说明</w:t>
      </w:r>
    </w:p>
    <w:p w:rsidR="00E81383" w:rsidRPr="00E81383" w:rsidRDefault="00E81383" w:rsidP="00E81383">
      <w:pPr>
        <w:widowControl/>
        <w:snapToGrid w:val="0"/>
        <w:spacing w:before="100" w:after="100" w:line="360" w:lineRule="auto"/>
        <w:jc w:val="left"/>
        <w:rPr>
          <w:rFonts w:ascii="仿宋_GB2312" w:eastAsia="仿宋_GB2312" w:hAnsi="黑体"/>
          <w:sz w:val="30"/>
          <w:szCs w:val="30"/>
        </w:rPr>
      </w:pPr>
      <w:r w:rsidRPr="00E81383">
        <w:rPr>
          <w:rFonts w:ascii="仿宋_GB2312" w:eastAsia="仿宋_GB2312" w:hAnsi="黑体" w:hint="eastAsia"/>
          <w:sz w:val="30"/>
          <w:szCs w:val="30"/>
        </w:rPr>
        <w:t>第五部分  名词解释</w:t>
      </w: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Default="00E81383" w:rsidP="00E81383">
      <w:pPr>
        <w:widowControl/>
        <w:snapToGrid w:val="0"/>
        <w:spacing w:before="100" w:after="100" w:line="360" w:lineRule="auto"/>
        <w:jc w:val="left"/>
        <w:rPr>
          <w:rFonts w:ascii="仿宋_GB2312" w:eastAsia="仿宋_GB2312" w:hAnsi="黑体"/>
          <w:sz w:val="32"/>
          <w:szCs w:val="32"/>
        </w:rPr>
      </w:pPr>
    </w:p>
    <w:p w:rsidR="00E81383" w:rsidRPr="00B211BC" w:rsidRDefault="00E81383" w:rsidP="00E81383">
      <w:pPr>
        <w:widowControl/>
        <w:snapToGrid w:val="0"/>
        <w:spacing w:before="100" w:after="100" w:line="360" w:lineRule="auto"/>
        <w:jc w:val="left"/>
        <w:rPr>
          <w:rFonts w:ascii="仿宋_GB2312" w:eastAsia="仿宋_GB2312" w:hAnsi="黑体"/>
          <w:sz w:val="32"/>
          <w:szCs w:val="32"/>
        </w:rPr>
      </w:pPr>
    </w:p>
    <w:p w:rsidR="00E81383" w:rsidRPr="00E81383" w:rsidRDefault="00E81383" w:rsidP="00E81383">
      <w:pPr>
        <w:spacing w:line="600" w:lineRule="exact"/>
        <w:ind w:firstLineChars="847" w:firstLine="2541"/>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lastRenderedPageBreak/>
        <w:t>第一部分 2018年概况</w:t>
      </w:r>
    </w:p>
    <w:p w:rsidR="00AD5705" w:rsidRPr="00E81383" w:rsidRDefault="00D2271C" w:rsidP="00E81383">
      <w:pPr>
        <w:spacing w:line="600" w:lineRule="exact"/>
        <w:ind w:firstLineChars="249" w:firstLine="747"/>
        <w:rPr>
          <w:rFonts w:ascii="仿宋_GB2312" w:eastAsia="仿宋_GB2312" w:hAnsi="宋体"/>
          <w:b/>
          <w:sz w:val="30"/>
          <w:szCs w:val="30"/>
        </w:rPr>
      </w:pPr>
      <w:r w:rsidRPr="00E81383">
        <w:rPr>
          <w:rFonts w:ascii="仿宋_GB2312" w:eastAsia="仿宋_GB2312" w:hAnsi="方正黑体_GBK" w:cs="方正黑体_GBK" w:hint="eastAsia"/>
          <w:bCs/>
          <w:kern w:val="0"/>
          <w:sz w:val="30"/>
          <w:szCs w:val="30"/>
        </w:rPr>
        <w:t>一、2018年度主要职能及重点工作任务介绍</w:t>
      </w:r>
    </w:p>
    <w:p w:rsidR="00AD5705" w:rsidRPr="00E81383" w:rsidRDefault="00D2271C" w:rsidP="00E81383">
      <w:pPr>
        <w:spacing w:line="600" w:lineRule="exact"/>
        <w:ind w:firstLineChars="200" w:firstLine="600"/>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（一）2018年度主要职能</w:t>
      </w:r>
    </w:p>
    <w:p w:rsidR="00AD5705" w:rsidRPr="00E81383" w:rsidRDefault="00D2271C">
      <w:pPr>
        <w:pStyle w:val="a3"/>
        <w:adjustRightInd w:val="0"/>
        <w:snapToGrid w:val="0"/>
        <w:spacing w:before="93" w:line="600" w:lineRule="exact"/>
        <w:ind w:firstLineChars="210" w:firstLine="630"/>
        <w:rPr>
          <w:rFonts w:hAnsi="黑体" w:cs="方正小标宋简体"/>
          <w:szCs w:val="30"/>
        </w:rPr>
      </w:pPr>
      <w:r w:rsidRPr="00E81383">
        <w:rPr>
          <w:rFonts w:hAnsi="黑体" w:cs="方正小标宋简体" w:hint="eastAsia"/>
          <w:szCs w:val="30"/>
        </w:rPr>
        <w:t xml:space="preserve"> 1、负责继承和发展祖国医学，保障和促进中医药事业的发展，保护人体健康。</w:t>
      </w:r>
      <w:r w:rsidRPr="00E81383">
        <w:rPr>
          <w:rFonts w:hAnsi="黑体" w:cs="方正小标宋简体" w:hint="eastAsia"/>
          <w:szCs w:val="30"/>
        </w:rPr>
        <w:br/>
        <w:t xml:space="preserve">    2、负责发挥中医药优势，运用现代技术，开展中医医疗、预防、保健、康复服务。</w:t>
      </w:r>
      <w:r w:rsidRPr="00E81383">
        <w:rPr>
          <w:rFonts w:hAnsi="黑体" w:cs="方正小标宋简体" w:hint="eastAsia"/>
          <w:szCs w:val="30"/>
        </w:rPr>
        <w:br/>
        <w:t xml:space="preserve">    3、认真做好中医药学的发掘整理工作，开展中医药适宜技术。</w:t>
      </w:r>
      <w:r w:rsidRPr="00E81383">
        <w:rPr>
          <w:rFonts w:hAnsi="黑体" w:cs="方正小标宋简体" w:hint="eastAsia"/>
          <w:szCs w:val="30"/>
        </w:rPr>
        <w:br/>
        <w:t xml:space="preserve">    4、以医疗为中心，不断提高医疗技术水平，用最佳的中医医疗技术开展内科、外科、骨伤、肛肠、妇产、老年病、糖尿病、针灸理疗康复等解除病人的痛苦。</w:t>
      </w:r>
      <w:r w:rsidRPr="00E81383">
        <w:rPr>
          <w:rFonts w:hAnsi="黑体" w:cs="方正小标宋简体" w:hint="eastAsia"/>
          <w:szCs w:val="30"/>
        </w:rPr>
        <w:br/>
        <w:t xml:space="preserve">    5、负责培养中医和西学中医人员的培训工作，推广普及中医药文化知识。</w:t>
      </w:r>
      <w:r w:rsidRPr="00E81383">
        <w:rPr>
          <w:rFonts w:hAnsi="黑体" w:cs="方正小标宋简体" w:hint="eastAsia"/>
          <w:szCs w:val="30"/>
        </w:rPr>
        <w:br/>
        <w:t xml:space="preserve">    6、开展以临床研究为重点的科研工作。</w:t>
      </w:r>
      <w:r w:rsidRPr="00E81383">
        <w:rPr>
          <w:rFonts w:hAnsi="黑体" w:cs="方正小标宋简体" w:hint="eastAsia"/>
          <w:szCs w:val="30"/>
        </w:rPr>
        <w:br/>
        <w:t xml:space="preserve">    7、负责依法承担预防保健和突发性公共卫生事件临床救治。</w:t>
      </w:r>
      <w:r w:rsidRPr="00E81383">
        <w:rPr>
          <w:rFonts w:hAnsi="黑体" w:cs="方正小标宋简体" w:hint="eastAsia"/>
          <w:szCs w:val="30"/>
        </w:rPr>
        <w:br/>
        <w:t xml:space="preserve">    8、负责运用中医药理论和现代科学技术开展常见病、多发病和疑难病的防治研究。</w:t>
      </w:r>
      <w:r w:rsidRPr="00E81383">
        <w:rPr>
          <w:rFonts w:hAnsi="黑体" w:cs="方正小标宋简体" w:hint="eastAsia"/>
          <w:szCs w:val="30"/>
        </w:rPr>
        <w:br/>
        <w:t xml:space="preserve">    9、贯彻以预防为主的方针，大力宣传中医药预防疾病的知识。</w:t>
      </w:r>
    </w:p>
    <w:p w:rsidR="00AD5705" w:rsidRPr="00E81383" w:rsidRDefault="00D2271C" w:rsidP="00E81383">
      <w:pPr>
        <w:pStyle w:val="a3"/>
        <w:adjustRightInd w:val="0"/>
        <w:snapToGrid w:val="0"/>
        <w:spacing w:before="93" w:line="600" w:lineRule="exact"/>
        <w:ind w:firstLineChars="210" w:firstLine="630"/>
        <w:rPr>
          <w:rFonts w:hAnsi="黑体" w:cs="方正小标宋简体"/>
          <w:szCs w:val="30"/>
        </w:rPr>
      </w:pPr>
      <w:r w:rsidRPr="00E81383">
        <w:rPr>
          <w:rFonts w:hAnsi="方正楷体_GBK" w:cs="方正楷体_GBK" w:hint="eastAsia"/>
          <w:bCs/>
          <w:szCs w:val="30"/>
        </w:rPr>
        <w:t>（二）2018年度重点工作任务介绍</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1.以抓基层党建为着力点，加强和改进党的建设。</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lastRenderedPageBreak/>
        <w:t>坚持行风建设常抓不懈，严格落实中央“八项规定”、“九不准”等正风肃纪规定，强化忠诚、责任担当。成立党办、采购办、总务后勤科，独立院办、设备科、信息科，优化内部科室设置，强化纪律监督、权力制衡、内部控制、职能职责、风险防控为一体的职能运行体系。</w:t>
      </w:r>
    </w:p>
    <w:p w:rsidR="00AD5705" w:rsidRPr="00E81383" w:rsidRDefault="00D2271C">
      <w:pPr>
        <w:spacing w:line="560" w:lineRule="exact"/>
        <w:ind w:firstLineChars="200" w:firstLine="600"/>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2.以医疗质量为核心，强基固本，稳步提升医院软实力。</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以二级中医医院评审为契机，制度建设为抓手，认真开展“三基三严”培训，加强院科两级医疗质量考核。强化队伍建设，实施中层干部公开竞聘上岗。认真履行云南中医学院实习医院教学职能，积极承担乡镇卫生院、村卫生室中医药人才培养职责，通过临床带教工作，反向助推医院自身人才队伍建设。</w:t>
      </w:r>
    </w:p>
    <w:p w:rsidR="00AD5705" w:rsidRPr="00E81383" w:rsidRDefault="00D2271C">
      <w:pPr>
        <w:spacing w:line="560" w:lineRule="exact"/>
        <w:ind w:leftChars="200" w:left="420" w:firstLineChars="50" w:firstLine="150"/>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3.以群众满意为考量，彰显责任，提升影响力。</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2018年，与扬武、新化、老厂、漠沙、戛洒、建兴等12个乡镇卫生院和云南省中医医院、玉溪市人民医院、玉溪市中医医院、昆明医科大第一附属医院四家三级医院签订双向转诊协议，为广大群众提供便捷的医疗服务。全年下转基层病人数为3例，实现了下转病人零突破。医共体所属卫生院门、急诊人次达到了195184人次，较2017年的144723人次上升了34.86%。向上级主管部门建言并促成120急救网络建设，有效形成分区域分专业救治，急诊效率明显提升的救治体系。</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4.以攻坚克难精神干事创业，推动医院跨越发展。</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lastRenderedPageBreak/>
        <w:t>1）完成整体搬迁。一期项目建设工程如期竣工并顺利投入使用。二期的综合楼和康复楼建设项目，目前正在进行初步设计</w:t>
      </w:r>
      <w:r w:rsidRPr="00E81383">
        <w:rPr>
          <w:rFonts w:ascii="仿宋_GB2312" w:eastAsia="仿宋_GB2312" w:hAnsi="方正仿宋_GBK" w:cs="方正仿宋_GBK" w:hint="eastAsia"/>
          <w:sz w:val="30"/>
          <w:szCs w:val="30"/>
        </w:rPr>
        <w:t>、</w:t>
      </w:r>
      <w:r w:rsidRPr="00E81383">
        <w:rPr>
          <w:rFonts w:ascii="仿宋_GB2312" w:eastAsia="仿宋_GB2312" w:hAnsi="黑体" w:cs="方正小标宋简体" w:hint="eastAsia"/>
          <w:sz w:val="30"/>
          <w:szCs w:val="30"/>
        </w:rPr>
        <w:t>施工图设计工作，将于近期开展场地“三通一平”，争取下半年开工建设。</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2）通过二级甲等中医医院评审。举全院之力，周密部署评审系列工作，全院职工统一步调，齐心协力，发扬“5+2”、“白+黑”的工作干劲，全面落实各项措施和要求，顺利通过了二级甲等中医医院评审。</w:t>
      </w:r>
    </w:p>
    <w:p w:rsidR="00AD5705" w:rsidRPr="00E81383" w:rsidRDefault="00D2271C" w:rsidP="00E81383">
      <w:pPr>
        <w:spacing w:line="600" w:lineRule="exact"/>
        <w:ind w:firstLineChars="249" w:firstLine="747"/>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二、部门基本情况</w:t>
      </w:r>
    </w:p>
    <w:p w:rsidR="00AD5705" w:rsidRPr="00E81383" w:rsidRDefault="00D2271C" w:rsidP="00E81383">
      <w:pPr>
        <w:spacing w:line="600" w:lineRule="exact"/>
        <w:ind w:firstLineChars="200" w:firstLine="600"/>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（一）部门决算单位构成</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纳入新平县中医医院2018年度部门决算编报的单位共1个。</w:t>
      </w:r>
    </w:p>
    <w:p w:rsidR="00AD5705" w:rsidRPr="00E81383" w:rsidRDefault="00D2271C" w:rsidP="00E81383">
      <w:pPr>
        <w:ind w:firstLineChars="200" w:firstLine="600"/>
        <w:rPr>
          <w:rFonts w:ascii="仿宋_GB2312" w:eastAsia="仿宋_GB2312" w:hAnsi="宋体"/>
          <w:b/>
          <w:sz w:val="30"/>
          <w:szCs w:val="30"/>
        </w:rPr>
      </w:pPr>
      <w:r w:rsidRPr="00E81383">
        <w:rPr>
          <w:rFonts w:ascii="仿宋_GB2312" w:eastAsia="仿宋_GB2312" w:hAnsi="方正楷体_GBK" w:cs="方正楷体_GBK" w:hint="eastAsia"/>
          <w:bCs/>
          <w:sz w:val="30"/>
          <w:szCs w:val="30"/>
        </w:rPr>
        <w:t>（二）部门人员和车辆的编制及实有情况</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新平县中医医院2018年末实有人员223人，其中：事业编制数80人，实际在职在编实有事业人员79人，编外人员144人。</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离退休人员46人。其中：离休0人，退休46人。</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实有车辆编制2辆，在编实有车辆1辆。</w:t>
      </w:r>
    </w:p>
    <w:p w:rsidR="00AD5705" w:rsidRPr="00E81383" w:rsidRDefault="00D2271C">
      <w:pPr>
        <w:numPr>
          <w:ilvl w:val="0"/>
          <w:numId w:val="1"/>
        </w:numPr>
        <w:jc w:val="center"/>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 xml:space="preserve"> 2018年度部门决算表</w:t>
      </w:r>
    </w:p>
    <w:p w:rsidR="00AD5705" w:rsidRPr="00E81383" w:rsidRDefault="00D2271C" w:rsidP="00E81383">
      <w:pPr>
        <w:spacing w:line="600" w:lineRule="exact"/>
        <w:ind w:firstLineChars="1100" w:firstLine="3300"/>
        <w:rPr>
          <w:rFonts w:ascii="仿宋_GB2312" w:eastAsia="仿宋_GB2312"/>
          <w:sz w:val="30"/>
          <w:szCs w:val="30"/>
        </w:rPr>
      </w:pPr>
      <w:r w:rsidRPr="00E81383">
        <w:rPr>
          <w:rFonts w:ascii="仿宋_GB2312" w:eastAsia="仿宋_GB2312" w:hint="eastAsia"/>
          <w:sz w:val="30"/>
          <w:szCs w:val="30"/>
        </w:rPr>
        <w:t>（详见附件）</w:t>
      </w:r>
    </w:p>
    <w:p w:rsidR="00AD5705" w:rsidRPr="00E81383" w:rsidRDefault="00D2271C" w:rsidP="00E81383">
      <w:pPr>
        <w:pStyle w:val="a8"/>
        <w:ind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一、收入支出决算总表</w:t>
      </w:r>
    </w:p>
    <w:p w:rsidR="00AD5705" w:rsidRPr="00E81383" w:rsidRDefault="00D2271C" w:rsidP="00E81383">
      <w:pPr>
        <w:pStyle w:val="a8"/>
        <w:ind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二、收入决算表</w:t>
      </w:r>
    </w:p>
    <w:p w:rsidR="00AD5705" w:rsidRPr="00E81383" w:rsidRDefault="00D2271C" w:rsidP="00E81383">
      <w:pPr>
        <w:pStyle w:val="a8"/>
        <w:ind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三、支出决算表</w:t>
      </w:r>
    </w:p>
    <w:p w:rsidR="00AD5705" w:rsidRPr="00E81383" w:rsidRDefault="00D2271C" w:rsidP="00E81383">
      <w:pPr>
        <w:pStyle w:val="a8"/>
        <w:ind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lastRenderedPageBreak/>
        <w:t>四、财政拨款收入支出决算总表</w:t>
      </w:r>
    </w:p>
    <w:p w:rsidR="00AD5705" w:rsidRPr="00E81383" w:rsidRDefault="00D2271C" w:rsidP="00E81383">
      <w:pPr>
        <w:pStyle w:val="a8"/>
        <w:ind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五、一般公共预算财政拨款收入支出决算表</w:t>
      </w:r>
    </w:p>
    <w:p w:rsidR="00AD5705" w:rsidRPr="00E81383" w:rsidRDefault="00D2271C" w:rsidP="00E81383">
      <w:pPr>
        <w:ind w:firstLineChars="200"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六、一般公共预算财政拨款基本支出决算表</w:t>
      </w:r>
    </w:p>
    <w:p w:rsidR="00AD5705" w:rsidRPr="00E81383" w:rsidRDefault="00D2271C" w:rsidP="00E81383">
      <w:pPr>
        <w:ind w:firstLineChars="200"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七、 “三公”经费、行政参公单位机关运行经费情况表</w:t>
      </w:r>
    </w:p>
    <w:p w:rsidR="00AD5705" w:rsidRPr="00E81383" w:rsidRDefault="00D2271C" w:rsidP="00E81383">
      <w:pPr>
        <w:ind w:firstLineChars="400" w:firstLine="1200"/>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第三部分 2018年度部门决算情况说明</w:t>
      </w:r>
    </w:p>
    <w:p w:rsidR="00AD5705" w:rsidRPr="00E81383" w:rsidRDefault="00D2271C" w:rsidP="00E81383">
      <w:pPr>
        <w:ind w:firstLineChars="200" w:firstLine="600"/>
        <w:jc w:val="left"/>
        <w:rPr>
          <w:rFonts w:ascii="仿宋_GB2312" w:eastAsia="仿宋_GB2312" w:hAnsi="宋体"/>
          <w:b/>
          <w:sz w:val="30"/>
          <w:szCs w:val="30"/>
        </w:rPr>
      </w:pPr>
      <w:r w:rsidRPr="00E81383">
        <w:rPr>
          <w:rFonts w:ascii="仿宋_GB2312" w:eastAsia="仿宋_GB2312" w:hAnsi="方正黑体_GBK" w:cs="方正黑体_GBK" w:hint="eastAsia"/>
          <w:bCs/>
          <w:kern w:val="0"/>
          <w:sz w:val="30"/>
          <w:szCs w:val="30"/>
        </w:rPr>
        <w:t>一、收入决算情况说明</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新平县中医医院2018年度收入合计66920180.94元。其中：财政拨款收入21786763.51元，占总收入的32.56%；上级补助收入0万元，占总收入的0%；事业收入42621674.02元，占总收入的63.69%；经营收入0万元，占总收入的0%；附属单位缴款收入0万元，占总收入的0%；其他收入2511743.41元，占总收入的3.75%。与上年总收入47882308.63元相比，增39.76%，主要原因是财政补助收入增加13521619.51元，事业收入增加5502263.63元，其他收入13989.17元。</w:t>
      </w:r>
    </w:p>
    <w:p w:rsidR="00AD5705" w:rsidRPr="00E81383" w:rsidRDefault="00D2271C" w:rsidP="00E81383">
      <w:pPr>
        <w:ind w:firstLineChars="200" w:firstLine="6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二、支出决算情况说明</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新平县中医医院2018年度支出合计69790503.79元。其中：基本支出50301487.94元，占总支出的72.07％；项目支出19489015.85元，占总支出的27.93％；上缴上级支出、经营支出、对附属单位补助支出共0万元，占总支出的0％。与上年总支出81690177.34元下降11899673.55元，降14.57%，主要原因是项目支出下降17510984.15元。</w:t>
      </w:r>
    </w:p>
    <w:p w:rsidR="00AD5705" w:rsidRPr="00E81383" w:rsidRDefault="00D2271C" w:rsidP="00E81383">
      <w:pPr>
        <w:ind w:firstLineChars="200"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lastRenderedPageBreak/>
        <w:t>（一）基本支出情况</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2018年度用于保障我单位机构正常运转的日常支出50301487.94元，包括基本工资、津贴补贴、退休人员生活补助等人员经费支出26066763.54元，占基本支出的51.82％；办公费、印刷费、水电费、办公设备购置等日常公用经费24234724.4元，占基本支出的48.18％。比2017年44690177.34元增5611310.6元，增12.56%，增加主要原因是医院搬迁导致人员增加，日常公用经费增加。</w:t>
      </w:r>
    </w:p>
    <w:p w:rsidR="00AD5705" w:rsidRPr="00E81383" w:rsidRDefault="00D2271C" w:rsidP="00E81383">
      <w:pPr>
        <w:widowControl/>
        <w:snapToGrid w:val="0"/>
        <w:spacing w:before="100" w:after="100" w:line="600" w:lineRule="exact"/>
        <w:ind w:firstLineChars="200" w:firstLine="600"/>
        <w:jc w:val="left"/>
        <w:rPr>
          <w:rFonts w:ascii="仿宋_GB2312" w:eastAsia="仿宋_GB2312" w:hAnsi="宋体"/>
          <w:b/>
          <w:sz w:val="30"/>
          <w:szCs w:val="30"/>
        </w:rPr>
      </w:pPr>
      <w:r w:rsidRPr="00E81383">
        <w:rPr>
          <w:rFonts w:ascii="仿宋_GB2312" w:eastAsia="仿宋_GB2312" w:hAnsi="方正楷体_GBK" w:cs="方正楷体_GBK" w:hint="eastAsia"/>
          <w:bCs/>
          <w:sz w:val="30"/>
          <w:szCs w:val="30"/>
        </w:rPr>
        <w:t>（二）项目支出情况</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2018年项目支出19489015.85元，比2017年度37000000.00元下降17510984.15元，降47.33%，下降主要原因整体搬迁项目建设基本完工。其中上年度财政补助结转结余资金用于项目支出3117000.00元，本年度其他项目资金支出1372015.85元，本年度整体搬迁建设项目支出15000000.00元。</w:t>
      </w:r>
    </w:p>
    <w:p w:rsidR="00AD5705" w:rsidRPr="00E81383" w:rsidRDefault="00D2271C" w:rsidP="00E81383">
      <w:pPr>
        <w:ind w:firstLineChars="200" w:firstLine="6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三、一般公共预算财政拨款支出决算情况说明</w:t>
      </w:r>
    </w:p>
    <w:p w:rsidR="00AD5705" w:rsidRPr="00E81383" w:rsidRDefault="00D2271C" w:rsidP="00E81383">
      <w:pPr>
        <w:widowControl/>
        <w:snapToGrid w:val="0"/>
        <w:spacing w:before="100" w:after="100" w:line="600" w:lineRule="exact"/>
        <w:ind w:firstLineChars="200" w:firstLine="600"/>
        <w:jc w:val="left"/>
        <w:rPr>
          <w:rFonts w:ascii="仿宋_GB2312" w:eastAsia="仿宋_GB2312" w:hAnsi="方正楷体_GBK" w:cs="方正楷体_GBK"/>
          <w:bCs/>
          <w:sz w:val="30"/>
          <w:szCs w:val="30"/>
        </w:rPr>
      </w:pPr>
      <w:r w:rsidRPr="00E81383">
        <w:rPr>
          <w:rFonts w:ascii="仿宋_GB2312" w:eastAsia="仿宋_GB2312" w:hAnsi="方正楷体_GBK" w:cs="方正楷体_GBK" w:hint="eastAsia"/>
          <w:bCs/>
          <w:sz w:val="30"/>
          <w:szCs w:val="30"/>
        </w:rPr>
        <w:t>（一）一般公共预算财政拨款支出决算总体情况</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新平县中医医院2018年度一般公共预算财政拨款支出5170563.51元，占本年度支出合计的7.41%，比2017年5148144.00元上升22419.51元,主要原因是退休人员医疗费增加。</w:t>
      </w:r>
    </w:p>
    <w:p w:rsidR="00AD5705" w:rsidRPr="00E81383" w:rsidRDefault="00D2271C" w:rsidP="00E81383">
      <w:pPr>
        <w:widowControl/>
        <w:snapToGrid w:val="0"/>
        <w:spacing w:before="100" w:after="100" w:line="600" w:lineRule="exact"/>
        <w:ind w:firstLineChars="200" w:firstLine="600"/>
        <w:jc w:val="left"/>
        <w:rPr>
          <w:rFonts w:ascii="仿宋_GB2312" w:eastAsia="仿宋_GB2312" w:hAnsi="宋体"/>
          <w:b/>
          <w:sz w:val="30"/>
          <w:szCs w:val="30"/>
        </w:rPr>
      </w:pPr>
      <w:r w:rsidRPr="00E81383">
        <w:rPr>
          <w:rFonts w:ascii="仿宋_GB2312" w:eastAsia="仿宋_GB2312" w:hAnsi="方正楷体_GBK" w:cs="方正楷体_GBK" w:hint="eastAsia"/>
          <w:bCs/>
          <w:sz w:val="30"/>
          <w:szCs w:val="30"/>
        </w:rPr>
        <w:t>（二）一般公共预算财政拨款支出决算具体情况</w:t>
      </w:r>
      <w:r w:rsidRPr="00E81383">
        <w:rPr>
          <w:rFonts w:ascii="仿宋_GB2312" w:eastAsia="仿宋_GB2312" w:hAnsi="宋体" w:hint="eastAsia"/>
          <w:b/>
          <w:sz w:val="30"/>
          <w:szCs w:val="30"/>
        </w:rPr>
        <w:tab/>
      </w:r>
      <w:r w:rsidRPr="00E81383">
        <w:rPr>
          <w:rFonts w:ascii="仿宋_GB2312" w:eastAsia="仿宋_GB2312" w:hAnsi="宋体" w:hint="eastAsia"/>
          <w:b/>
          <w:sz w:val="30"/>
          <w:szCs w:val="30"/>
        </w:rPr>
        <w:tab/>
      </w:r>
      <w:r w:rsidRPr="00E81383">
        <w:rPr>
          <w:rFonts w:ascii="仿宋_GB2312" w:eastAsia="仿宋_GB2312" w:hAnsi="宋体" w:hint="eastAsia"/>
          <w:b/>
          <w:sz w:val="30"/>
          <w:szCs w:val="30"/>
        </w:rPr>
        <w:tab/>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lastRenderedPageBreak/>
        <w:t>1.一般公共服务（类）支出5170563.51元，占一般公共预算财政拨款总支出的7.41%。</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2.外交（类）支出0元，占一般公共预算财政拨款总支出的0%。</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3.国防（类）支出0元，占一般公共预算财政拨款总支出的0%。</w:t>
      </w:r>
    </w:p>
    <w:p w:rsidR="00AD5705" w:rsidRPr="00E81383" w:rsidRDefault="00D2271C">
      <w:pPr>
        <w:widowControl/>
        <w:snapToGrid w:val="0"/>
        <w:spacing w:before="100" w:after="100" w:line="360" w:lineRule="auto"/>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4.公共安全（类）支出0元，占一般公共预算财政拨款总支出的0%。</w:t>
      </w:r>
    </w:p>
    <w:p w:rsidR="00AD5705" w:rsidRPr="00E81383" w:rsidRDefault="00D2271C" w:rsidP="00E81383">
      <w:pPr>
        <w:ind w:firstLineChars="200" w:firstLine="6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四、一般公共预算财政拨款“三公”经费支出决算情况说明</w:t>
      </w:r>
    </w:p>
    <w:p w:rsidR="00AD5705" w:rsidRPr="00E81383" w:rsidRDefault="00D2271C">
      <w:pPr>
        <w:widowControl/>
        <w:snapToGrid w:val="0"/>
        <w:spacing w:before="100" w:after="100" w:line="360" w:lineRule="auto"/>
        <w:ind w:firstLineChars="200" w:firstLine="600"/>
        <w:jc w:val="left"/>
        <w:rPr>
          <w:rFonts w:ascii="仿宋_GB2312" w:eastAsia="仿宋_GB2312" w:hAnsi="宋体"/>
          <w:sz w:val="30"/>
          <w:szCs w:val="30"/>
        </w:rPr>
      </w:pPr>
      <w:r w:rsidRPr="00E81383">
        <w:rPr>
          <w:rFonts w:ascii="仿宋_GB2312" w:eastAsia="仿宋_GB2312" w:hAnsi="黑体" w:cs="方正小标宋简体" w:hint="eastAsia"/>
          <w:sz w:val="30"/>
          <w:szCs w:val="30"/>
        </w:rPr>
        <w:t>因新平县中医医院属于差额拨款单位，所以没有“三公”经费财政拨款收支情况。2018年度“三公”经费财政拨款支出预算为0元，支出决算为0元，完成预算的0%。其中：因公出国（境）费支出决算为0元，完成预算的0%；公务用车购置及运行费支出决算为0元，完成预算的0%；公务接待费支出决算为0元，完成预算的0%</w:t>
      </w:r>
      <w:r w:rsidRPr="00E81383">
        <w:rPr>
          <w:rFonts w:ascii="仿宋_GB2312" w:eastAsia="仿宋_GB2312" w:hAnsi="宋体" w:hint="eastAsia"/>
          <w:sz w:val="30"/>
          <w:szCs w:val="30"/>
        </w:rPr>
        <w:t>。</w:t>
      </w:r>
    </w:p>
    <w:p w:rsidR="00AD5705" w:rsidRPr="00E81383" w:rsidRDefault="00D2271C" w:rsidP="00E81383">
      <w:pPr>
        <w:ind w:firstLineChars="300" w:firstLine="9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第四部分  其他重要事项及相关口径情况说明</w:t>
      </w:r>
    </w:p>
    <w:p w:rsidR="00AD5705" w:rsidRPr="00E81383" w:rsidRDefault="00D2271C" w:rsidP="00E81383">
      <w:pPr>
        <w:ind w:firstLineChars="200" w:firstLine="6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一、机关运行经费支出情况</w:t>
      </w:r>
    </w:p>
    <w:p w:rsidR="00AD5705" w:rsidRPr="00E81383" w:rsidRDefault="00D2271C">
      <w:pPr>
        <w:ind w:firstLineChars="200" w:firstLine="600"/>
        <w:jc w:val="left"/>
        <w:rPr>
          <w:rFonts w:ascii="仿宋_GB2312" w:eastAsia="仿宋_GB2312" w:hAnsi="黑体" w:cs="方正小标宋简体"/>
          <w:sz w:val="30"/>
          <w:szCs w:val="30"/>
        </w:rPr>
      </w:pPr>
      <w:r w:rsidRPr="00E81383">
        <w:rPr>
          <w:rFonts w:ascii="仿宋_GB2312" w:eastAsia="仿宋_GB2312" w:hAnsi="黑体" w:cs="方正小标宋简体" w:hint="eastAsia"/>
          <w:sz w:val="30"/>
          <w:szCs w:val="30"/>
        </w:rPr>
        <w:t>XX部门XX年机关运行经费支出XX万元，与上年对比……,主要原因分析……。部门机关运行经费主要用于XX（相关使用情况）。本单位属于事业单位。</w:t>
      </w:r>
    </w:p>
    <w:p w:rsidR="00AD5705" w:rsidRPr="00E81383" w:rsidRDefault="00D2271C" w:rsidP="00E81383">
      <w:pPr>
        <w:ind w:firstLineChars="200" w:firstLine="600"/>
        <w:jc w:val="left"/>
        <w:rPr>
          <w:rFonts w:ascii="仿宋_GB2312" w:eastAsia="仿宋_GB2312" w:hAnsi="方正黑体_GBK" w:cs="方正黑体_GBK"/>
          <w:bCs/>
          <w:kern w:val="0"/>
          <w:sz w:val="30"/>
          <w:szCs w:val="30"/>
        </w:rPr>
      </w:pPr>
      <w:r w:rsidRPr="00E81383">
        <w:rPr>
          <w:rFonts w:ascii="仿宋_GB2312" w:eastAsia="仿宋_GB2312" w:hAnsi="方正黑体_GBK" w:cs="方正黑体_GBK" w:hint="eastAsia"/>
          <w:bCs/>
          <w:kern w:val="0"/>
          <w:sz w:val="30"/>
          <w:szCs w:val="30"/>
        </w:rPr>
        <w:t>二、国有资产占用情况</w:t>
      </w:r>
    </w:p>
    <w:p w:rsidR="00AD5705" w:rsidRPr="00E81383" w:rsidRDefault="00D2271C">
      <w:pPr>
        <w:widowControl/>
        <w:ind w:firstLineChars="200" w:firstLine="600"/>
        <w:rPr>
          <w:rFonts w:ascii="仿宋_GB2312" w:eastAsia="仿宋_GB2312" w:hAnsi="宋体" w:cs="宋体"/>
          <w:color w:val="000000"/>
          <w:kern w:val="0"/>
          <w:sz w:val="30"/>
          <w:szCs w:val="30"/>
        </w:rPr>
      </w:pPr>
      <w:r w:rsidRPr="00E81383">
        <w:rPr>
          <w:rFonts w:ascii="仿宋_GB2312" w:eastAsia="仿宋_GB2312" w:hAnsi="黑体" w:cs="方正小标宋简体" w:hint="eastAsia"/>
          <w:color w:val="000000"/>
          <w:kern w:val="0"/>
          <w:sz w:val="30"/>
          <w:szCs w:val="30"/>
        </w:rPr>
        <w:t>截至2018年12月31日，新平县中医医院资产总额129902774.8元，其中，流动资产32906926.03元，固定资产11042030.72元，对外投资及有价证券0万元，在建工程83556535.91元，无形资产</w:t>
      </w:r>
      <w:r w:rsidRPr="00E81383">
        <w:rPr>
          <w:rFonts w:ascii="仿宋_GB2312" w:eastAsia="仿宋_GB2312" w:hAnsi="黑体" w:cs="方正小标宋简体" w:hint="eastAsia"/>
          <w:color w:val="000000"/>
          <w:kern w:val="0"/>
          <w:sz w:val="30"/>
          <w:szCs w:val="30"/>
        </w:rPr>
        <w:lastRenderedPageBreak/>
        <w:t>2397282.14元，其他资产0元（具体内容详见附表）。与上年相比，本年资产总额增加（减少）25639513.6元，其中固定资产（减少）6515530.01元。处置房屋建筑物7289.67平方米，账面原值8706681.4元；处置车辆0辆，账面原值0元；报废报损资产0项，账面原值0元，实现资产处置收入0元；出租房屋0平方米，账面原值0元，实现资产使用收入0元。</w:t>
      </w:r>
    </w:p>
    <w:tbl>
      <w:tblPr>
        <w:tblpPr w:leftFromText="180" w:rightFromText="180" w:topFromText="100" w:bottomFromText="100" w:vertAnchor="text" w:horzAnchor="page" w:tblpX="534" w:tblpY="490"/>
        <w:tblOverlap w:val="never"/>
        <w:tblW w:w="10770" w:type="dxa"/>
        <w:tblLayout w:type="fixed"/>
        <w:tblCellMar>
          <w:left w:w="0" w:type="dxa"/>
          <w:right w:w="0" w:type="dxa"/>
        </w:tblCellMar>
        <w:tblLook w:val="04A0"/>
      </w:tblPr>
      <w:tblGrid>
        <w:gridCol w:w="715"/>
        <w:gridCol w:w="546"/>
        <w:gridCol w:w="700"/>
        <w:gridCol w:w="684"/>
        <w:gridCol w:w="474"/>
        <w:gridCol w:w="725"/>
        <w:gridCol w:w="769"/>
        <w:gridCol w:w="67"/>
        <w:gridCol w:w="782"/>
        <w:gridCol w:w="414"/>
        <w:gridCol w:w="643"/>
        <w:gridCol w:w="196"/>
        <w:gridCol w:w="978"/>
        <w:gridCol w:w="979"/>
        <w:gridCol w:w="360"/>
        <w:gridCol w:w="618"/>
        <w:gridCol w:w="360"/>
        <w:gridCol w:w="142"/>
        <w:gridCol w:w="476"/>
        <w:gridCol w:w="142"/>
      </w:tblGrid>
      <w:tr w:rsidR="00AD5705">
        <w:trPr>
          <w:trHeight w:val="495"/>
        </w:trPr>
        <w:tc>
          <w:tcPr>
            <w:tcW w:w="10628" w:type="dxa"/>
            <w:gridSpan w:val="19"/>
            <w:tcBorders>
              <w:top w:val="nil"/>
              <w:left w:val="nil"/>
              <w:bottom w:val="nil"/>
              <w:right w:val="nil"/>
            </w:tcBorders>
            <w:shd w:val="clear" w:color="auto" w:fill="FFFFFF"/>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仿宋_GB2312" w:eastAsia="仿宋_GB2312" w:hAnsi="方正小标宋_GBK" w:cs="方正小标宋_GBK" w:hint="eastAsia"/>
                <w:b/>
                <w:color w:val="000000"/>
                <w:kern w:val="0"/>
                <w:sz w:val="30"/>
                <w:szCs w:val="30"/>
              </w:rPr>
              <w:t>国有资产占有使用情况表</w:t>
            </w: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347"/>
        </w:trPr>
        <w:tc>
          <w:tcPr>
            <w:tcW w:w="4680" w:type="dxa"/>
            <w:gridSpan w:val="8"/>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782"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057" w:type="dxa"/>
            <w:gridSpan w:val="2"/>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AD5705" w:rsidRDefault="00D2271C">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rPr>
              <w:t>单位：元</w:t>
            </w: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415"/>
        </w:trPr>
        <w:tc>
          <w:tcPr>
            <w:tcW w:w="7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行次</w:t>
            </w:r>
          </w:p>
        </w:tc>
        <w:tc>
          <w:tcPr>
            <w:tcW w:w="7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资产总额</w:t>
            </w:r>
          </w:p>
        </w:tc>
        <w:tc>
          <w:tcPr>
            <w:tcW w:w="68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流动资产</w:t>
            </w:r>
          </w:p>
        </w:tc>
        <w:tc>
          <w:tcPr>
            <w:tcW w:w="4070" w:type="dxa"/>
            <w:gridSpan w:val="8"/>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34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4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小计</w:t>
            </w:r>
          </w:p>
        </w:tc>
        <w:tc>
          <w:tcPr>
            <w:tcW w:w="72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房屋构筑物</w:t>
            </w:r>
          </w:p>
        </w:tc>
        <w:tc>
          <w:tcPr>
            <w:tcW w:w="7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车辆</w:t>
            </w:r>
          </w:p>
        </w:tc>
        <w:tc>
          <w:tcPr>
            <w:tcW w:w="1263" w:type="dxa"/>
            <w:gridSpan w:val="3"/>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其他固定资产</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39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474"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725"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769"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1263" w:type="dxa"/>
            <w:gridSpan w:val="3"/>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839" w:type="dxa"/>
            <w:gridSpan w:val="2"/>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AD5705" w:rsidRDefault="00AD5705">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358"/>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w:t>
            </w:r>
          </w:p>
        </w:tc>
        <w:tc>
          <w:tcPr>
            <w:tcW w:w="47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3</w:t>
            </w:r>
          </w:p>
        </w:tc>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4</w:t>
            </w:r>
          </w:p>
        </w:tc>
        <w:tc>
          <w:tcPr>
            <w:tcW w:w="76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5</w:t>
            </w:r>
          </w:p>
        </w:tc>
        <w:tc>
          <w:tcPr>
            <w:tcW w:w="12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6</w:t>
            </w: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7</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8</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11</w:t>
            </w: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563"/>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129902774.8 </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32906926.03 </w:t>
            </w:r>
          </w:p>
        </w:tc>
        <w:tc>
          <w:tcPr>
            <w:tcW w:w="47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11042030.72 </w:t>
            </w:r>
          </w:p>
        </w:tc>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76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493622.22 </w:t>
            </w:r>
          </w:p>
        </w:tc>
        <w:tc>
          <w:tcPr>
            <w:tcW w:w="12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10548408.5 </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83556535.91 </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2397282.1</w:t>
            </w:r>
            <w:bookmarkStart w:id="0" w:name="_GoBack"/>
            <w:bookmarkEnd w:id="0"/>
            <w:r>
              <w:rPr>
                <w:rFonts w:ascii="宋体" w:hAnsi="宋体" w:cs="宋体" w:hint="eastAsia"/>
                <w:color w:val="000000"/>
                <w:kern w:val="0"/>
                <w:sz w:val="20"/>
                <w:szCs w:val="20"/>
              </w:rPr>
              <w:t>4 </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AD5705" w:rsidRDefault="00D2271C">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gridAfter w:val="2"/>
          <w:wAfter w:w="618" w:type="dxa"/>
          <w:trHeight w:val="259"/>
        </w:trPr>
        <w:tc>
          <w:tcPr>
            <w:tcW w:w="8672" w:type="dxa"/>
            <w:gridSpan w:val="14"/>
            <w:tcBorders>
              <w:top w:val="nil"/>
              <w:left w:val="nil"/>
              <w:bottom w:val="nil"/>
              <w:right w:val="nil"/>
            </w:tcBorders>
            <w:noWrap/>
            <w:tcMar>
              <w:top w:w="15" w:type="dxa"/>
              <w:left w:w="15" w:type="dxa"/>
              <w:bottom w:w="15" w:type="dxa"/>
              <w:right w:w="15" w:type="dxa"/>
            </w:tcMar>
            <w:vAlign w:val="bottom"/>
          </w:tcPr>
          <w:p w:rsidR="00AD5705" w:rsidRDefault="00AD5705">
            <w:pPr>
              <w:widowControl/>
              <w:rPr>
                <w:rFonts w:ascii="宋体" w:hAnsi="宋体" w:cs="宋体"/>
                <w:color w:val="000000"/>
                <w:kern w:val="0"/>
                <w:sz w:val="24"/>
              </w:rPr>
            </w:pPr>
          </w:p>
        </w:tc>
        <w:tc>
          <w:tcPr>
            <w:tcW w:w="360" w:type="dxa"/>
            <w:tcBorders>
              <w:top w:val="nil"/>
              <w:left w:val="nil"/>
              <w:bottom w:val="nil"/>
              <w:right w:val="nil"/>
            </w:tcBorders>
            <w:noWrap/>
            <w:tcMar>
              <w:top w:w="15" w:type="dxa"/>
              <w:left w:w="15" w:type="dxa"/>
              <w:bottom w:w="15" w:type="dxa"/>
              <w:right w:w="15" w:type="dxa"/>
            </w:tcMar>
            <w:vAlign w:val="bottom"/>
          </w:tcPr>
          <w:p w:rsidR="00AD5705" w:rsidRDefault="00AD5705">
            <w:pPr>
              <w:widowControl/>
              <w:rPr>
                <w:rFonts w:ascii="宋体" w:hAnsi="宋体" w:cs="宋体"/>
                <w:color w:val="000000"/>
                <w:kern w:val="0"/>
                <w:sz w:val="20"/>
              </w:rPr>
            </w:pPr>
          </w:p>
        </w:tc>
        <w:tc>
          <w:tcPr>
            <w:tcW w:w="978" w:type="dxa"/>
            <w:gridSpan w:val="2"/>
            <w:tcBorders>
              <w:top w:val="nil"/>
              <w:left w:val="nil"/>
              <w:bottom w:val="nil"/>
              <w:right w:val="nil"/>
            </w:tcBorders>
            <w:noWrap/>
            <w:tcMar>
              <w:top w:w="15" w:type="dxa"/>
              <w:left w:w="15" w:type="dxa"/>
              <w:bottom w:w="15" w:type="dxa"/>
              <w:right w:w="15" w:type="dxa"/>
            </w:tcMar>
            <w:vAlign w:val="bottom"/>
          </w:tcPr>
          <w:p w:rsidR="00AD5705" w:rsidRDefault="00AD5705">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AD5705" w:rsidRDefault="00AD5705">
            <w:pPr>
              <w:widowControl/>
              <w:jc w:val="left"/>
              <w:rPr>
                <w:rFonts w:ascii="宋体" w:hAnsi="宋体" w:cs="宋体"/>
                <w:color w:val="000000"/>
                <w:kern w:val="0"/>
                <w:sz w:val="17"/>
                <w:szCs w:val="17"/>
              </w:rPr>
            </w:pPr>
          </w:p>
        </w:tc>
      </w:tr>
      <w:tr w:rsidR="00AD5705">
        <w:trPr>
          <w:trHeight w:val="495"/>
        </w:trPr>
        <w:tc>
          <w:tcPr>
            <w:tcW w:w="9650" w:type="dxa"/>
            <w:gridSpan w:val="16"/>
            <w:tcBorders>
              <w:top w:val="nil"/>
              <w:left w:val="nil"/>
              <w:bottom w:val="nil"/>
              <w:right w:val="nil"/>
            </w:tcBorders>
            <w:noWrap/>
            <w:tcMar>
              <w:top w:w="15" w:type="dxa"/>
              <w:left w:w="15" w:type="dxa"/>
              <w:bottom w:w="15" w:type="dxa"/>
              <w:right w:w="15" w:type="dxa"/>
            </w:tcMar>
            <w:vAlign w:val="bottom"/>
          </w:tcPr>
          <w:p w:rsidR="00AD5705" w:rsidRDefault="00D2271C">
            <w:pPr>
              <w:widowControl/>
              <w:rPr>
                <w:rFonts w:ascii="宋体" w:hAnsi="宋体" w:cs="宋体"/>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rsidR="00AD5705" w:rsidRDefault="00D2271C">
            <w:pPr>
              <w:widowControl/>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noWrap/>
            <w:tcMar>
              <w:top w:w="15" w:type="dxa"/>
              <w:left w:w="15" w:type="dxa"/>
              <w:bottom w:w="15" w:type="dxa"/>
              <w:right w:w="15" w:type="dxa"/>
            </w:tcMar>
            <w:vAlign w:val="bottom"/>
          </w:tcPr>
          <w:p w:rsidR="00AD5705" w:rsidRDefault="00D2271C">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noWrap/>
            <w:vAlign w:val="center"/>
          </w:tcPr>
          <w:p w:rsidR="00AD5705" w:rsidRDefault="00AD5705">
            <w:pPr>
              <w:widowControl/>
              <w:jc w:val="left"/>
              <w:rPr>
                <w:rFonts w:eastAsia="Times New Roman"/>
                <w:kern w:val="0"/>
                <w:sz w:val="20"/>
                <w:szCs w:val="20"/>
              </w:rPr>
            </w:pPr>
          </w:p>
        </w:tc>
      </w:tr>
    </w:tbl>
    <w:p w:rsidR="00E81383" w:rsidRDefault="00D2271C" w:rsidP="00E81383">
      <w:pPr>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三、政府采购支出情况</w:t>
      </w:r>
    </w:p>
    <w:p w:rsidR="00AD5705" w:rsidRPr="00E81383" w:rsidRDefault="00D2271C" w:rsidP="00E81383">
      <w:pPr>
        <w:ind w:firstLineChars="200" w:firstLine="600"/>
        <w:jc w:val="left"/>
        <w:rPr>
          <w:rFonts w:ascii="方正黑体_GBK" w:eastAsia="方正黑体_GBK" w:hAnsi="方正黑体_GBK" w:cs="方正黑体_GBK"/>
          <w:bCs/>
          <w:kern w:val="0"/>
          <w:sz w:val="32"/>
          <w:szCs w:val="32"/>
        </w:rPr>
      </w:pPr>
      <w:r>
        <w:rPr>
          <w:rFonts w:ascii="仿宋_GB2312" w:eastAsia="仿宋_GB2312" w:hAnsi="仿宋_GB2312" w:cs="仿宋_GB2312" w:hint="eastAsia"/>
          <w:sz w:val="30"/>
          <w:szCs w:val="30"/>
        </w:rPr>
        <w:t>2018年度，部门政府采购支出总额13780元，其中：政府采购货物支出13780元；政府采购工程支出0万元；政府采购服务支出0万元。授予中小企业合同金额0万元，占政府采购支出总额的0%。</w:t>
      </w:r>
    </w:p>
    <w:p w:rsidR="00AD5705" w:rsidRDefault="00D2271C">
      <w:pPr>
        <w:ind w:firstLineChars="200" w:firstLine="640"/>
        <w:jc w:val="left"/>
        <w:rPr>
          <w:rFonts w:ascii="黑体" w:eastAsia="黑体" w:hAnsi="黑体" w:cs="黑体"/>
          <w:sz w:val="30"/>
          <w:szCs w:val="30"/>
        </w:rPr>
      </w:pPr>
      <w:r>
        <w:rPr>
          <w:rFonts w:ascii="方正黑体_GBK" w:eastAsia="方正黑体_GBK" w:hAnsi="方正黑体_GBK" w:cs="方正黑体_GBK" w:hint="eastAsia"/>
          <w:bCs/>
          <w:kern w:val="0"/>
          <w:sz w:val="32"/>
          <w:szCs w:val="32"/>
        </w:rPr>
        <w:t>四、部门绩效自评情况</w:t>
      </w:r>
    </w:p>
    <w:p w:rsidR="00AD5705" w:rsidRDefault="00D2271C">
      <w:pPr>
        <w:widowControl/>
        <w:snapToGrid w:val="0"/>
        <w:spacing w:before="100" w:after="100" w:line="360" w:lineRule="auto"/>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部门绩效自评情况详见附表（附表10—附表14）。</w:t>
      </w:r>
    </w:p>
    <w:p w:rsidR="00AD5705" w:rsidRDefault="00D2271C">
      <w:pPr>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五、其他重要事项情况说明</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本单位无其他重要事项情况说明。</w:t>
      </w:r>
    </w:p>
    <w:p w:rsidR="00AD5705" w:rsidRDefault="00D2271C">
      <w:pPr>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六、相关口径说明</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（一）基本支出中人员经费包括工资福利支出和对个人和家庭的补助，日常公用支出包括商品和服务支出、资本性支出等人员经费以外的支出。</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（二）机关运行经费指行政单位和参照公务员法管理的事业单位使用一般公共预算财政拨款安排的基本支出中的日常公用经费支出。</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（四）“三公”经费决算数：指各部门（含下属单位）当年通过本级财政一般公共预算财政拨款和以前年度一般公共预算财政拨款</w:t>
      </w:r>
      <w:r>
        <w:rPr>
          <w:rFonts w:ascii="仿宋_GB2312" w:eastAsia="仿宋_GB2312" w:hAnsi="黑体" w:cs="方正小标宋简体" w:hint="eastAsia"/>
          <w:sz w:val="30"/>
          <w:szCs w:val="30"/>
        </w:rPr>
        <w:lastRenderedPageBreak/>
        <w:t>结转结余资金安排的因公出国（境）费、公务用车购置及运行维护费和公务接待费支出数（包括基本支出和项目支出）。</w:t>
      </w:r>
    </w:p>
    <w:p w:rsidR="00AD5705" w:rsidRDefault="00D2271C">
      <w:pPr>
        <w:ind w:firstLineChars="800" w:firstLine="256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第五部分  名词解释</w:t>
      </w:r>
    </w:p>
    <w:p w:rsidR="00AD5705" w:rsidRDefault="00D2271C">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不涉及专用名词</w:t>
      </w: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E81383" w:rsidRDefault="00E81383">
      <w:pPr>
        <w:ind w:firstLineChars="200" w:firstLine="600"/>
        <w:jc w:val="left"/>
        <w:rPr>
          <w:rFonts w:ascii="仿宋_GB2312" w:eastAsia="仿宋_GB2312" w:hAnsi="黑体" w:cs="方正小标宋简体"/>
          <w:sz w:val="30"/>
          <w:szCs w:val="30"/>
        </w:rPr>
      </w:pPr>
    </w:p>
    <w:p w:rsidR="00AD5705" w:rsidRDefault="00D2271C">
      <w:pPr>
        <w:spacing w:line="600" w:lineRule="exact"/>
        <w:ind w:right="560" w:firstLineChars="200" w:firstLine="560"/>
        <w:jc w:val="center"/>
        <w:rPr>
          <w:rFonts w:ascii="宋体" w:hAnsi="宋体"/>
          <w:sz w:val="28"/>
          <w:szCs w:val="28"/>
        </w:rPr>
      </w:pPr>
      <w:r>
        <w:rPr>
          <w:rFonts w:ascii="宋体" w:hAnsi="宋体" w:hint="eastAsia"/>
          <w:sz w:val="28"/>
          <w:szCs w:val="28"/>
        </w:rPr>
        <w:t xml:space="preserve">                                        新平县中医医院</w:t>
      </w:r>
    </w:p>
    <w:p w:rsidR="00AD5705" w:rsidRDefault="00D2271C">
      <w:pPr>
        <w:spacing w:line="600" w:lineRule="exact"/>
        <w:ind w:right="420" w:firstLineChars="200" w:firstLine="560"/>
        <w:jc w:val="right"/>
        <w:rPr>
          <w:rFonts w:ascii="宋体" w:hAnsi="宋体"/>
          <w:sz w:val="28"/>
          <w:szCs w:val="28"/>
        </w:rPr>
      </w:pPr>
      <w:r>
        <w:rPr>
          <w:rFonts w:ascii="宋体" w:hAnsi="宋体" w:hint="eastAsia"/>
          <w:sz w:val="28"/>
          <w:szCs w:val="28"/>
        </w:rPr>
        <w:t>2019年9月1</w:t>
      </w:r>
      <w:r w:rsidR="00690058">
        <w:rPr>
          <w:rFonts w:ascii="宋体" w:hAnsi="宋体" w:hint="eastAsia"/>
          <w:sz w:val="28"/>
          <w:szCs w:val="28"/>
        </w:rPr>
        <w:t>5</w:t>
      </w:r>
      <w:r>
        <w:rPr>
          <w:rFonts w:ascii="宋体" w:hAnsi="宋体" w:hint="eastAsia"/>
          <w:sz w:val="28"/>
          <w:szCs w:val="28"/>
        </w:rPr>
        <w:t>日</w:t>
      </w:r>
    </w:p>
    <w:sectPr w:rsidR="00AD5705" w:rsidSect="00AD5705">
      <w:headerReference w:type="default" r:id="rId8"/>
      <w:footerReference w:type="even" r:id="rId9"/>
      <w:footerReference w:type="default" r:id="rId10"/>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E43" w:rsidRDefault="00B45E43" w:rsidP="00AD5705">
      <w:r>
        <w:separator/>
      </w:r>
    </w:p>
  </w:endnote>
  <w:endnote w:type="continuationSeparator" w:id="1">
    <w:p w:rsidR="00B45E43" w:rsidRDefault="00B45E43" w:rsidP="00AD5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5" w:rsidRDefault="005E5813">
    <w:pPr>
      <w:pStyle w:val="a5"/>
      <w:framePr w:wrap="around" w:vAnchor="text" w:hAnchor="margin" w:xAlign="center" w:y="1"/>
      <w:rPr>
        <w:rStyle w:val="a7"/>
      </w:rPr>
    </w:pPr>
    <w:r>
      <w:fldChar w:fldCharType="begin"/>
    </w:r>
    <w:r w:rsidR="00D2271C">
      <w:rPr>
        <w:rStyle w:val="a7"/>
      </w:rPr>
      <w:instrText xml:space="preserve">PAGE  </w:instrText>
    </w:r>
    <w:r>
      <w:fldChar w:fldCharType="end"/>
    </w:r>
  </w:p>
  <w:p w:rsidR="00AD5705" w:rsidRDefault="00AD57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5" w:rsidRDefault="005E5813">
    <w:pPr>
      <w:pStyle w:val="a5"/>
      <w:framePr w:wrap="around" w:vAnchor="text" w:hAnchor="margin" w:xAlign="center" w:y="1"/>
      <w:rPr>
        <w:rStyle w:val="a7"/>
      </w:rPr>
    </w:pPr>
    <w:r>
      <w:fldChar w:fldCharType="begin"/>
    </w:r>
    <w:r w:rsidR="00D2271C">
      <w:rPr>
        <w:rStyle w:val="a7"/>
      </w:rPr>
      <w:instrText xml:space="preserve">PAGE  </w:instrText>
    </w:r>
    <w:r>
      <w:fldChar w:fldCharType="separate"/>
    </w:r>
    <w:r w:rsidR="00690058">
      <w:rPr>
        <w:rStyle w:val="a7"/>
        <w:noProof/>
      </w:rPr>
      <w:t>2</w:t>
    </w:r>
    <w:r>
      <w:fldChar w:fldCharType="end"/>
    </w:r>
  </w:p>
  <w:p w:rsidR="00AD5705" w:rsidRDefault="00AD57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E43" w:rsidRDefault="00B45E43" w:rsidP="00AD5705">
      <w:r>
        <w:separator/>
      </w:r>
    </w:p>
  </w:footnote>
  <w:footnote w:type="continuationSeparator" w:id="1">
    <w:p w:rsidR="00B45E43" w:rsidRDefault="00B45E43" w:rsidP="00AD5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5" w:rsidRDefault="00AD570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882A"/>
    <w:multiLevelType w:val="singleLevel"/>
    <w:tmpl w:val="E17F882A"/>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58E"/>
    <w:rsid w:val="00014033"/>
    <w:rsid w:val="00015917"/>
    <w:rsid w:val="00022AB8"/>
    <w:rsid w:val="0003511E"/>
    <w:rsid w:val="00053ABF"/>
    <w:rsid w:val="00072EF0"/>
    <w:rsid w:val="000913E4"/>
    <w:rsid w:val="000A6010"/>
    <w:rsid w:val="000C3242"/>
    <w:rsid w:val="000F1E26"/>
    <w:rsid w:val="0010004D"/>
    <w:rsid w:val="001263DA"/>
    <w:rsid w:val="001374A6"/>
    <w:rsid w:val="00152270"/>
    <w:rsid w:val="001536A4"/>
    <w:rsid w:val="00154575"/>
    <w:rsid w:val="00165CD3"/>
    <w:rsid w:val="00172A27"/>
    <w:rsid w:val="001749E4"/>
    <w:rsid w:val="0018242B"/>
    <w:rsid w:val="00190515"/>
    <w:rsid w:val="001A0067"/>
    <w:rsid w:val="001A0E45"/>
    <w:rsid w:val="001A3A9F"/>
    <w:rsid w:val="001C2096"/>
    <w:rsid w:val="001C6512"/>
    <w:rsid w:val="00224AF2"/>
    <w:rsid w:val="002360A6"/>
    <w:rsid w:val="00242472"/>
    <w:rsid w:val="0024718F"/>
    <w:rsid w:val="0029065D"/>
    <w:rsid w:val="002A35DC"/>
    <w:rsid w:val="002B295A"/>
    <w:rsid w:val="002D0360"/>
    <w:rsid w:val="002E1618"/>
    <w:rsid w:val="00310284"/>
    <w:rsid w:val="00314D76"/>
    <w:rsid w:val="003231A2"/>
    <w:rsid w:val="00350203"/>
    <w:rsid w:val="00371195"/>
    <w:rsid w:val="003725CC"/>
    <w:rsid w:val="00392FEE"/>
    <w:rsid w:val="00393375"/>
    <w:rsid w:val="003938CD"/>
    <w:rsid w:val="003A263E"/>
    <w:rsid w:val="003B19AA"/>
    <w:rsid w:val="003E167F"/>
    <w:rsid w:val="003F230D"/>
    <w:rsid w:val="003F462A"/>
    <w:rsid w:val="003F7F51"/>
    <w:rsid w:val="00430657"/>
    <w:rsid w:val="0045007E"/>
    <w:rsid w:val="004636A8"/>
    <w:rsid w:val="004639D2"/>
    <w:rsid w:val="00464CD0"/>
    <w:rsid w:val="0048090A"/>
    <w:rsid w:val="0049341E"/>
    <w:rsid w:val="004D1694"/>
    <w:rsid w:val="004D5A12"/>
    <w:rsid w:val="004E71D9"/>
    <w:rsid w:val="0050289F"/>
    <w:rsid w:val="005144D0"/>
    <w:rsid w:val="0052295E"/>
    <w:rsid w:val="005477AF"/>
    <w:rsid w:val="00550133"/>
    <w:rsid w:val="0055230D"/>
    <w:rsid w:val="005545C8"/>
    <w:rsid w:val="00557069"/>
    <w:rsid w:val="00575AC5"/>
    <w:rsid w:val="0057690C"/>
    <w:rsid w:val="00577096"/>
    <w:rsid w:val="00584B0E"/>
    <w:rsid w:val="005A1A61"/>
    <w:rsid w:val="005A2797"/>
    <w:rsid w:val="005B558B"/>
    <w:rsid w:val="005B6DF0"/>
    <w:rsid w:val="005E4A61"/>
    <w:rsid w:val="005E5813"/>
    <w:rsid w:val="006021EC"/>
    <w:rsid w:val="00607AF7"/>
    <w:rsid w:val="006217EE"/>
    <w:rsid w:val="0062634D"/>
    <w:rsid w:val="00630AC0"/>
    <w:rsid w:val="00640B67"/>
    <w:rsid w:val="006546F4"/>
    <w:rsid w:val="0066092E"/>
    <w:rsid w:val="00664FE2"/>
    <w:rsid w:val="00690058"/>
    <w:rsid w:val="00697350"/>
    <w:rsid w:val="006A0DF9"/>
    <w:rsid w:val="006A112F"/>
    <w:rsid w:val="006A6676"/>
    <w:rsid w:val="006C4F21"/>
    <w:rsid w:val="006D02F7"/>
    <w:rsid w:val="006D206A"/>
    <w:rsid w:val="006E45B7"/>
    <w:rsid w:val="006F5ECE"/>
    <w:rsid w:val="00700346"/>
    <w:rsid w:val="00701ADB"/>
    <w:rsid w:val="00707D98"/>
    <w:rsid w:val="0072339C"/>
    <w:rsid w:val="007249B2"/>
    <w:rsid w:val="00734A8A"/>
    <w:rsid w:val="00776986"/>
    <w:rsid w:val="007A132A"/>
    <w:rsid w:val="007A375D"/>
    <w:rsid w:val="007A61A0"/>
    <w:rsid w:val="007A7573"/>
    <w:rsid w:val="007B0761"/>
    <w:rsid w:val="007B4F9A"/>
    <w:rsid w:val="007B548C"/>
    <w:rsid w:val="007B65F4"/>
    <w:rsid w:val="007C6117"/>
    <w:rsid w:val="007D1D2B"/>
    <w:rsid w:val="007D5A1D"/>
    <w:rsid w:val="007E38F7"/>
    <w:rsid w:val="007F0EE2"/>
    <w:rsid w:val="007F6762"/>
    <w:rsid w:val="00804391"/>
    <w:rsid w:val="008066B7"/>
    <w:rsid w:val="00823B32"/>
    <w:rsid w:val="00835A68"/>
    <w:rsid w:val="00835AE0"/>
    <w:rsid w:val="0085209F"/>
    <w:rsid w:val="008563D1"/>
    <w:rsid w:val="00866535"/>
    <w:rsid w:val="00890779"/>
    <w:rsid w:val="008A4EFB"/>
    <w:rsid w:val="008A7D08"/>
    <w:rsid w:val="008C3E9E"/>
    <w:rsid w:val="008C6076"/>
    <w:rsid w:val="008D757B"/>
    <w:rsid w:val="008E399D"/>
    <w:rsid w:val="008F39D5"/>
    <w:rsid w:val="008F69E9"/>
    <w:rsid w:val="009048AF"/>
    <w:rsid w:val="00905397"/>
    <w:rsid w:val="009250E9"/>
    <w:rsid w:val="00944AE2"/>
    <w:rsid w:val="00953916"/>
    <w:rsid w:val="00960215"/>
    <w:rsid w:val="00963061"/>
    <w:rsid w:val="0096611B"/>
    <w:rsid w:val="00966EA3"/>
    <w:rsid w:val="00966FD9"/>
    <w:rsid w:val="00981B86"/>
    <w:rsid w:val="0099058A"/>
    <w:rsid w:val="00994ABF"/>
    <w:rsid w:val="00995C9D"/>
    <w:rsid w:val="0099708C"/>
    <w:rsid w:val="009B39E4"/>
    <w:rsid w:val="009C2819"/>
    <w:rsid w:val="009C2C9B"/>
    <w:rsid w:val="009C3DCD"/>
    <w:rsid w:val="009D7F43"/>
    <w:rsid w:val="009E20C7"/>
    <w:rsid w:val="009E50DD"/>
    <w:rsid w:val="009E7A81"/>
    <w:rsid w:val="009F0254"/>
    <w:rsid w:val="00A07799"/>
    <w:rsid w:val="00A3510F"/>
    <w:rsid w:val="00A45F37"/>
    <w:rsid w:val="00A60382"/>
    <w:rsid w:val="00A712DC"/>
    <w:rsid w:val="00A72DA9"/>
    <w:rsid w:val="00A77BF1"/>
    <w:rsid w:val="00A86C65"/>
    <w:rsid w:val="00A94999"/>
    <w:rsid w:val="00A96DEB"/>
    <w:rsid w:val="00AC573F"/>
    <w:rsid w:val="00AC7859"/>
    <w:rsid w:val="00AD5705"/>
    <w:rsid w:val="00B07829"/>
    <w:rsid w:val="00B4333E"/>
    <w:rsid w:val="00B45E43"/>
    <w:rsid w:val="00B5366F"/>
    <w:rsid w:val="00B56370"/>
    <w:rsid w:val="00B61DBD"/>
    <w:rsid w:val="00B80AAC"/>
    <w:rsid w:val="00B81D10"/>
    <w:rsid w:val="00B9604E"/>
    <w:rsid w:val="00B96706"/>
    <w:rsid w:val="00BA3948"/>
    <w:rsid w:val="00BB3509"/>
    <w:rsid w:val="00BC0778"/>
    <w:rsid w:val="00BC73ED"/>
    <w:rsid w:val="00BE3E47"/>
    <w:rsid w:val="00BE7B81"/>
    <w:rsid w:val="00BF0A0B"/>
    <w:rsid w:val="00C0360F"/>
    <w:rsid w:val="00C236BC"/>
    <w:rsid w:val="00C3042C"/>
    <w:rsid w:val="00C31145"/>
    <w:rsid w:val="00C35F72"/>
    <w:rsid w:val="00C3607D"/>
    <w:rsid w:val="00C37B42"/>
    <w:rsid w:val="00C430D2"/>
    <w:rsid w:val="00C4706B"/>
    <w:rsid w:val="00C53096"/>
    <w:rsid w:val="00C61925"/>
    <w:rsid w:val="00CA235E"/>
    <w:rsid w:val="00CD4CE9"/>
    <w:rsid w:val="00D04ADA"/>
    <w:rsid w:val="00D1191D"/>
    <w:rsid w:val="00D1253E"/>
    <w:rsid w:val="00D2271C"/>
    <w:rsid w:val="00D2484E"/>
    <w:rsid w:val="00D81194"/>
    <w:rsid w:val="00D82E8F"/>
    <w:rsid w:val="00D87646"/>
    <w:rsid w:val="00DA0649"/>
    <w:rsid w:val="00DA4174"/>
    <w:rsid w:val="00DB67A4"/>
    <w:rsid w:val="00DC77E2"/>
    <w:rsid w:val="00DD261E"/>
    <w:rsid w:val="00DF3F45"/>
    <w:rsid w:val="00E20914"/>
    <w:rsid w:val="00E36604"/>
    <w:rsid w:val="00E46CFE"/>
    <w:rsid w:val="00E662AA"/>
    <w:rsid w:val="00E769E8"/>
    <w:rsid w:val="00E80B36"/>
    <w:rsid w:val="00E81383"/>
    <w:rsid w:val="00E9395C"/>
    <w:rsid w:val="00E97A2F"/>
    <w:rsid w:val="00EA2124"/>
    <w:rsid w:val="00EC24BF"/>
    <w:rsid w:val="00ED7654"/>
    <w:rsid w:val="00EE750D"/>
    <w:rsid w:val="00F322C0"/>
    <w:rsid w:val="00F37401"/>
    <w:rsid w:val="00F44882"/>
    <w:rsid w:val="00F67CEA"/>
    <w:rsid w:val="00F7221F"/>
    <w:rsid w:val="00F73DAF"/>
    <w:rsid w:val="00F74193"/>
    <w:rsid w:val="00F8632D"/>
    <w:rsid w:val="00F92259"/>
    <w:rsid w:val="00F94DB0"/>
    <w:rsid w:val="00FA4848"/>
    <w:rsid w:val="00FA48DF"/>
    <w:rsid w:val="00FC7690"/>
    <w:rsid w:val="00FF6A71"/>
    <w:rsid w:val="0EB104F6"/>
    <w:rsid w:val="10D10F93"/>
    <w:rsid w:val="168B7C29"/>
    <w:rsid w:val="25881788"/>
    <w:rsid w:val="2915261B"/>
    <w:rsid w:val="2A9E418A"/>
    <w:rsid w:val="3BA776F7"/>
    <w:rsid w:val="3C3E2EBE"/>
    <w:rsid w:val="3F583541"/>
    <w:rsid w:val="43FE6F73"/>
    <w:rsid w:val="5299497E"/>
    <w:rsid w:val="75FB5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D5705"/>
    <w:pPr>
      <w:spacing w:beforeLines="30"/>
    </w:pPr>
    <w:rPr>
      <w:rFonts w:ascii="仿宋_GB2312" w:eastAsia="仿宋_GB2312"/>
      <w:sz w:val="30"/>
    </w:rPr>
  </w:style>
  <w:style w:type="paragraph" w:styleId="a4">
    <w:name w:val="Balloon Text"/>
    <w:basedOn w:val="a"/>
    <w:semiHidden/>
    <w:qFormat/>
    <w:rsid w:val="00AD5705"/>
    <w:rPr>
      <w:sz w:val="18"/>
      <w:szCs w:val="18"/>
    </w:rPr>
  </w:style>
  <w:style w:type="paragraph" w:styleId="a5">
    <w:name w:val="footer"/>
    <w:basedOn w:val="a"/>
    <w:link w:val="Char"/>
    <w:uiPriority w:val="99"/>
    <w:qFormat/>
    <w:rsid w:val="00AD5705"/>
    <w:pPr>
      <w:tabs>
        <w:tab w:val="center" w:pos="4153"/>
        <w:tab w:val="right" w:pos="8306"/>
      </w:tabs>
      <w:snapToGrid w:val="0"/>
      <w:jc w:val="left"/>
    </w:pPr>
    <w:rPr>
      <w:sz w:val="18"/>
      <w:szCs w:val="18"/>
    </w:rPr>
  </w:style>
  <w:style w:type="paragraph" w:styleId="a6">
    <w:name w:val="header"/>
    <w:basedOn w:val="a"/>
    <w:rsid w:val="00AD5705"/>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AD5705"/>
  </w:style>
  <w:style w:type="paragraph" w:styleId="a8">
    <w:name w:val="List Paragraph"/>
    <w:basedOn w:val="a"/>
    <w:uiPriority w:val="34"/>
    <w:qFormat/>
    <w:rsid w:val="00AD5705"/>
    <w:pPr>
      <w:ind w:firstLineChars="200" w:firstLine="420"/>
    </w:pPr>
  </w:style>
  <w:style w:type="character" w:customStyle="1" w:styleId="Char">
    <w:name w:val="页脚 Char"/>
    <w:link w:val="a5"/>
    <w:uiPriority w:val="99"/>
    <w:qFormat/>
    <w:rsid w:val="00AD57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729</Words>
  <Characters>4160</Characters>
  <Application>Microsoft Office Word</Application>
  <DocSecurity>0</DocSecurity>
  <Lines>34</Lines>
  <Paragraphs>9</Paragraphs>
  <ScaleCrop>false</ScaleCrop>
  <Company>微软中国</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周美君</cp:lastModifiedBy>
  <cp:revision>20</cp:revision>
  <cp:lastPrinted>2013-05-12T07:06:00Z</cp:lastPrinted>
  <dcterms:created xsi:type="dcterms:W3CDTF">2018-09-17T07:17:00Z</dcterms:created>
  <dcterms:modified xsi:type="dcterms:W3CDTF">2019-09-24T07:56:00Z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