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ED" w:rsidRPr="00641EED" w:rsidRDefault="00641EED" w:rsidP="00641EED">
      <w:pPr>
        <w:widowControl/>
        <w:spacing w:after="75"/>
        <w:jc w:val="left"/>
        <w:rPr>
          <w:rFonts w:ascii="Arial" w:eastAsia="宋体" w:hAnsi="Arial" w:cs="Arial"/>
          <w:kern w:val="0"/>
          <w:sz w:val="24"/>
          <w:szCs w:val="24"/>
        </w:rPr>
      </w:pPr>
      <w:r w:rsidRPr="00641EED">
        <w:rPr>
          <w:rFonts w:ascii="Arial" w:eastAsia="宋体" w:hAnsi="Arial" w:cs="Arial"/>
          <w:b/>
          <w:bCs/>
          <w:kern w:val="0"/>
          <w:sz w:val="24"/>
          <w:szCs w:val="24"/>
        </w:rPr>
        <w:t>监督索引号</w:t>
      </w:r>
      <w:r w:rsidRPr="00641EED">
        <w:rPr>
          <w:rFonts w:ascii="Arial" w:eastAsia="宋体" w:hAnsi="Arial" w:cs="Arial"/>
          <w:b/>
          <w:bCs/>
          <w:kern w:val="0"/>
          <w:sz w:val="24"/>
          <w:szCs w:val="24"/>
        </w:rPr>
        <w:t>53042700631201000</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方正小标宋简体" w:eastAsia="方正小标宋简体" w:hAnsi="Arial" w:cs="Arial" w:hint="eastAsia"/>
          <w:kern w:val="0"/>
          <w:sz w:val="30"/>
          <w:szCs w:val="30"/>
        </w:rPr>
        <w:t>附件3</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黑体" w:eastAsia="黑体" w:hAnsi="黑体" w:cs="Arial" w:hint="eastAsia"/>
          <w:kern w:val="0"/>
          <w:sz w:val="36"/>
          <w:szCs w:val="36"/>
        </w:rPr>
        <w:t>新平县公安局2018年度部门决算说明</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黑体" w:eastAsia="黑体" w:hAnsi="黑体" w:cs="Arial" w:hint="eastAsia"/>
          <w:kern w:val="0"/>
          <w:sz w:val="30"/>
          <w:szCs w:val="30"/>
        </w:rPr>
        <w:t>第一部分</w:t>
      </w:r>
      <w:r w:rsidRPr="00641EED">
        <w:rPr>
          <w:rFonts w:ascii="宋体" w:eastAsia="宋体" w:hAnsi="宋体" w:cs="宋体" w:hint="eastAsia"/>
          <w:kern w:val="0"/>
          <w:sz w:val="30"/>
          <w:szCs w:val="30"/>
        </w:rPr>
        <w:t> </w:t>
      </w:r>
      <w:r w:rsidRPr="00641EED">
        <w:rPr>
          <w:rFonts w:ascii="黑体" w:eastAsia="黑体" w:hAnsi="黑体" w:cs="黑体" w:hint="eastAsia"/>
          <w:kern w:val="0"/>
          <w:sz w:val="30"/>
          <w:szCs w:val="30"/>
        </w:rPr>
        <w:t xml:space="preserve"> </w:t>
      </w:r>
      <w:r w:rsidRPr="00641EED">
        <w:rPr>
          <w:rFonts w:ascii="黑体" w:eastAsia="黑体" w:hAnsi="黑体" w:cs="Arial" w:hint="eastAsia"/>
          <w:kern w:val="0"/>
          <w:sz w:val="30"/>
          <w:szCs w:val="30"/>
        </w:rPr>
        <w:t>单位概况</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一、主要职能</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二、部门基本情况</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黑体" w:eastAsia="黑体" w:hAnsi="黑体" w:cs="Arial" w:hint="eastAsia"/>
          <w:kern w:val="0"/>
          <w:sz w:val="30"/>
          <w:szCs w:val="30"/>
        </w:rPr>
        <w:t>第二部分</w:t>
      </w:r>
      <w:r w:rsidRPr="00641EED">
        <w:rPr>
          <w:rFonts w:ascii="宋体" w:eastAsia="宋体" w:hAnsi="宋体" w:cs="宋体" w:hint="eastAsia"/>
          <w:kern w:val="0"/>
          <w:sz w:val="30"/>
          <w:szCs w:val="30"/>
        </w:rPr>
        <w:t> </w:t>
      </w:r>
      <w:r w:rsidRPr="00641EED">
        <w:rPr>
          <w:rFonts w:ascii="黑体" w:eastAsia="黑体" w:hAnsi="黑体" w:cs="黑体" w:hint="eastAsia"/>
          <w:kern w:val="0"/>
          <w:sz w:val="30"/>
          <w:szCs w:val="30"/>
        </w:rPr>
        <w:t xml:space="preserve"> 2018</w:t>
      </w:r>
      <w:r w:rsidRPr="00641EED">
        <w:rPr>
          <w:rFonts w:ascii="黑体" w:eastAsia="黑体" w:hAnsi="黑体" w:cs="Arial" w:hint="eastAsia"/>
          <w:kern w:val="0"/>
          <w:sz w:val="30"/>
          <w:szCs w:val="30"/>
        </w:rPr>
        <w:t>年度部门决算表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一、收入支出决算总表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二、收入决算表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三、支出决算表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四、财政拨款收入支出决算总表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五、一般公共预算财政拨款收入支出决算表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六、一般公共预算财政拨款基本支出决算表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七、政府性基金预算财政拨款收入支出决算表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八、财政专户管理资金收入支出决算表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九、“三公”经费、行政参公单位机关运行经费情况表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黑体" w:eastAsia="黑体" w:hAnsi="黑体" w:cs="Arial" w:hint="eastAsia"/>
          <w:kern w:val="0"/>
          <w:sz w:val="30"/>
          <w:szCs w:val="30"/>
        </w:rPr>
        <w:t>第三部分</w:t>
      </w:r>
      <w:r w:rsidRPr="00641EED">
        <w:rPr>
          <w:rFonts w:ascii="宋体" w:eastAsia="宋体" w:hAnsi="宋体" w:cs="宋体" w:hint="eastAsia"/>
          <w:kern w:val="0"/>
          <w:sz w:val="30"/>
          <w:szCs w:val="30"/>
        </w:rPr>
        <w:t> </w:t>
      </w:r>
      <w:r w:rsidRPr="00641EED">
        <w:rPr>
          <w:rFonts w:ascii="黑体" w:eastAsia="黑体" w:hAnsi="黑体" w:cs="黑体" w:hint="eastAsia"/>
          <w:kern w:val="0"/>
          <w:sz w:val="30"/>
          <w:szCs w:val="30"/>
        </w:rPr>
        <w:t xml:space="preserve"> 2018</w:t>
      </w:r>
      <w:r w:rsidRPr="00641EED">
        <w:rPr>
          <w:rFonts w:ascii="黑体" w:eastAsia="黑体" w:hAnsi="黑体" w:cs="Arial" w:hint="eastAsia"/>
          <w:kern w:val="0"/>
          <w:sz w:val="30"/>
          <w:szCs w:val="30"/>
        </w:rPr>
        <w:t>年度部门决算情况说明</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一、收入决算情况说明</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二、支出决算情况说明</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三、一般公共预算财政拨款支出决算情况说明</w:t>
      </w:r>
    </w:p>
    <w:p w:rsidR="00641EED" w:rsidRPr="00641EED" w:rsidRDefault="00641EED" w:rsidP="00641EED">
      <w:pPr>
        <w:widowControl/>
        <w:spacing w:before="105" w:after="105" w:line="360" w:lineRule="auto"/>
        <w:jc w:val="left"/>
        <w:rPr>
          <w:rFonts w:ascii="Arial" w:eastAsia="宋体" w:hAnsi="Arial" w:cs="Arial"/>
          <w:kern w:val="0"/>
          <w:sz w:val="24"/>
          <w:szCs w:val="24"/>
        </w:rPr>
      </w:pPr>
      <w:r w:rsidRPr="00641EED">
        <w:rPr>
          <w:rFonts w:ascii="楷体" w:eastAsia="楷体" w:hAnsi="楷体" w:cs="Arial" w:hint="eastAsia"/>
          <w:kern w:val="0"/>
          <w:sz w:val="30"/>
          <w:szCs w:val="30"/>
        </w:rPr>
        <w:lastRenderedPageBreak/>
        <w:t>四、一般公共预算财政拨款“三公”经费支出决算情况说明</w:t>
      </w:r>
    </w:p>
    <w:p w:rsidR="00641EED" w:rsidRPr="00641EED" w:rsidRDefault="00641EED" w:rsidP="00641EED">
      <w:pPr>
        <w:widowControl/>
        <w:spacing w:before="105" w:after="105" w:line="360" w:lineRule="auto"/>
        <w:jc w:val="left"/>
        <w:rPr>
          <w:rFonts w:ascii="Arial" w:eastAsia="宋体" w:hAnsi="Arial" w:cs="Arial"/>
          <w:kern w:val="0"/>
          <w:sz w:val="24"/>
          <w:szCs w:val="24"/>
        </w:rPr>
      </w:pPr>
      <w:r w:rsidRPr="00641EED">
        <w:rPr>
          <w:rFonts w:ascii="黑体" w:eastAsia="黑体" w:hAnsi="黑体" w:cs="Arial" w:hint="eastAsia"/>
          <w:kern w:val="0"/>
          <w:sz w:val="30"/>
          <w:szCs w:val="30"/>
        </w:rPr>
        <w:t>第四部分</w:t>
      </w:r>
      <w:r w:rsidRPr="00641EED">
        <w:rPr>
          <w:rFonts w:ascii="宋体" w:eastAsia="宋体" w:hAnsi="宋体" w:cs="宋体" w:hint="eastAsia"/>
          <w:kern w:val="0"/>
          <w:sz w:val="30"/>
          <w:szCs w:val="30"/>
        </w:rPr>
        <w:t> </w:t>
      </w:r>
      <w:r w:rsidRPr="00641EED">
        <w:rPr>
          <w:rFonts w:ascii="楷体" w:eastAsia="楷体" w:hAnsi="楷体" w:cs="楷体" w:hint="eastAsia"/>
          <w:kern w:val="0"/>
          <w:sz w:val="30"/>
          <w:szCs w:val="30"/>
        </w:rPr>
        <w:t xml:space="preserve"> </w:t>
      </w:r>
      <w:r w:rsidRPr="00641EED">
        <w:rPr>
          <w:rFonts w:ascii="黑体" w:eastAsia="黑体" w:hAnsi="黑体" w:cs="Arial" w:hint="eastAsia"/>
          <w:kern w:val="0"/>
          <w:sz w:val="30"/>
          <w:szCs w:val="30"/>
        </w:rPr>
        <w:t>其他重要事项及相关口径情况说明</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一、机关运行经费支出情况</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二、国有资产占用情况</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三、政府采购支出情况</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四、部门绩效自评情况</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（一）项目支出概况</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（二）项目支出绩效自评</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（三）项目绩效目标管理</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（四）2018部门整体支出绩效自评报告</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（五）部门整体支出绩效自评表</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楷体" w:eastAsia="楷体" w:hAnsi="楷体" w:cs="Arial" w:hint="eastAsia"/>
          <w:kern w:val="0"/>
          <w:sz w:val="30"/>
          <w:szCs w:val="30"/>
        </w:rPr>
        <w:t>五、其他重要事项情况说明</w:t>
      </w:r>
    </w:p>
    <w:p w:rsidR="00641EED" w:rsidRPr="00641EED" w:rsidRDefault="00641EED" w:rsidP="00641EED">
      <w:pPr>
        <w:widowControl/>
        <w:spacing w:before="105" w:after="105" w:line="360" w:lineRule="auto"/>
        <w:jc w:val="left"/>
        <w:rPr>
          <w:rFonts w:ascii="Arial" w:eastAsia="宋体" w:hAnsi="Arial" w:cs="Arial"/>
          <w:kern w:val="0"/>
          <w:sz w:val="24"/>
          <w:szCs w:val="24"/>
        </w:rPr>
      </w:pPr>
      <w:r w:rsidRPr="00641EED">
        <w:rPr>
          <w:rFonts w:ascii="黑体" w:eastAsia="黑体" w:hAnsi="黑体" w:cs="Arial" w:hint="eastAsia"/>
          <w:kern w:val="0"/>
          <w:sz w:val="30"/>
          <w:szCs w:val="30"/>
        </w:rPr>
        <w:t>第五部分</w:t>
      </w:r>
      <w:r w:rsidRPr="00641EED">
        <w:rPr>
          <w:rFonts w:ascii="宋体" w:eastAsia="宋体" w:hAnsi="宋体" w:cs="宋体" w:hint="eastAsia"/>
          <w:kern w:val="0"/>
          <w:sz w:val="30"/>
          <w:szCs w:val="30"/>
        </w:rPr>
        <w:t> </w:t>
      </w:r>
      <w:r w:rsidRPr="00641EED">
        <w:rPr>
          <w:rFonts w:ascii="黑体" w:eastAsia="黑体" w:hAnsi="黑体" w:cs="黑体" w:hint="eastAsia"/>
          <w:kern w:val="0"/>
          <w:sz w:val="30"/>
          <w:szCs w:val="30"/>
        </w:rPr>
        <w:t xml:space="preserve"> </w:t>
      </w:r>
      <w:r w:rsidRPr="00641EED">
        <w:rPr>
          <w:rFonts w:ascii="黑体" w:eastAsia="黑体" w:hAnsi="黑体" w:cs="Arial" w:hint="eastAsia"/>
          <w:kern w:val="0"/>
          <w:sz w:val="30"/>
          <w:szCs w:val="30"/>
        </w:rPr>
        <w:t>名词解释</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宋体" w:eastAsia="宋体" w:hAnsi="宋体" w:cs="宋体" w:hint="eastAsia"/>
          <w:kern w:val="0"/>
          <w:sz w:val="32"/>
          <w:szCs w:val="32"/>
        </w:rPr>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宋体" w:eastAsia="宋体" w:hAnsi="宋体" w:cs="宋体" w:hint="eastAsia"/>
          <w:kern w:val="0"/>
          <w:sz w:val="32"/>
          <w:szCs w:val="32"/>
        </w:rPr>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宋体" w:eastAsia="宋体" w:hAnsi="宋体" w:cs="宋体" w:hint="eastAsia"/>
          <w:kern w:val="0"/>
          <w:sz w:val="32"/>
          <w:szCs w:val="32"/>
        </w:rPr>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宋体" w:eastAsia="宋体" w:hAnsi="宋体" w:cs="宋体" w:hint="eastAsia"/>
          <w:kern w:val="0"/>
          <w:sz w:val="32"/>
          <w:szCs w:val="32"/>
        </w:rPr>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宋体" w:eastAsia="宋体" w:hAnsi="宋体" w:cs="宋体" w:hint="eastAsia"/>
          <w:kern w:val="0"/>
          <w:sz w:val="32"/>
          <w:szCs w:val="32"/>
        </w:rPr>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宋体" w:eastAsia="宋体" w:hAnsi="宋体" w:cs="宋体" w:hint="eastAsia"/>
          <w:kern w:val="0"/>
          <w:sz w:val="32"/>
          <w:szCs w:val="32"/>
        </w:rPr>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宋体" w:eastAsia="宋体" w:hAnsi="宋体" w:cs="宋体" w:hint="eastAsia"/>
          <w:kern w:val="0"/>
          <w:sz w:val="32"/>
          <w:szCs w:val="32"/>
        </w:rPr>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宋体" w:eastAsia="宋体" w:hAnsi="宋体" w:cs="宋体" w:hint="eastAsia"/>
          <w:kern w:val="0"/>
          <w:sz w:val="32"/>
          <w:szCs w:val="32"/>
        </w:rPr>
        <w:lastRenderedPageBreak/>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黑体" w:eastAsia="黑体" w:hAnsi="黑体" w:cs="Arial" w:hint="eastAsia"/>
          <w:kern w:val="0"/>
          <w:sz w:val="32"/>
          <w:szCs w:val="32"/>
        </w:rPr>
        <w:t>第一部分</w:t>
      </w:r>
      <w:r w:rsidRPr="00641EED">
        <w:rPr>
          <w:rFonts w:ascii="宋体" w:eastAsia="宋体" w:hAnsi="宋体" w:cs="宋体" w:hint="eastAsia"/>
          <w:kern w:val="0"/>
          <w:sz w:val="32"/>
          <w:szCs w:val="32"/>
        </w:rPr>
        <w:t> </w:t>
      </w:r>
      <w:r w:rsidRPr="00641EED">
        <w:rPr>
          <w:rFonts w:ascii="黑体" w:eastAsia="黑体" w:hAnsi="黑体" w:cs="黑体" w:hint="eastAsia"/>
          <w:kern w:val="0"/>
          <w:sz w:val="32"/>
          <w:szCs w:val="32"/>
        </w:rPr>
        <w:t xml:space="preserve"> </w:t>
      </w:r>
      <w:r w:rsidRPr="00641EED">
        <w:rPr>
          <w:rFonts w:ascii="黑体" w:eastAsia="黑体" w:hAnsi="黑体" w:cs="Arial" w:hint="eastAsia"/>
          <w:kern w:val="0"/>
          <w:sz w:val="32"/>
          <w:szCs w:val="32"/>
        </w:rPr>
        <w:t>新平县公安局概况</w:t>
      </w:r>
    </w:p>
    <w:p w:rsidR="00641EED" w:rsidRPr="00641EED" w:rsidRDefault="00641EED" w:rsidP="00641EED">
      <w:pPr>
        <w:widowControl/>
        <w:spacing w:before="75" w:after="75" w:line="600" w:lineRule="atLeast"/>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一、主要职能</w:t>
      </w:r>
    </w:p>
    <w:p w:rsidR="00641EED" w:rsidRPr="00641EED" w:rsidRDefault="00641EED" w:rsidP="00641EED">
      <w:pPr>
        <w:widowControl/>
        <w:spacing w:before="75" w:after="75" w:line="600" w:lineRule="atLeast"/>
        <w:ind w:firstLine="600"/>
        <w:jc w:val="left"/>
        <w:rPr>
          <w:rFonts w:ascii="Arial" w:eastAsia="宋体" w:hAnsi="Arial" w:cs="Arial"/>
          <w:kern w:val="0"/>
          <w:sz w:val="24"/>
          <w:szCs w:val="24"/>
        </w:rPr>
      </w:pPr>
      <w:r w:rsidRPr="00641EED">
        <w:rPr>
          <w:rFonts w:ascii="楷体" w:eastAsia="楷体" w:hAnsi="楷体" w:cs="Arial" w:hint="eastAsia"/>
          <w:kern w:val="0"/>
          <w:sz w:val="30"/>
          <w:szCs w:val="30"/>
        </w:rPr>
        <w:t>（一）主要职能</w:t>
      </w:r>
    </w:p>
    <w:p w:rsidR="00641EED" w:rsidRPr="00641EED" w:rsidRDefault="00641EED" w:rsidP="00641EED">
      <w:pPr>
        <w:widowControl/>
        <w:spacing w:before="90" w:line="600" w:lineRule="atLeast"/>
        <w:ind w:firstLine="600"/>
        <w:jc w:val="left"/>
        <w:rPr>
          <w:rFonts w:ascii="Arial" w:eastAsia="宋体" w:hAnsi="Arial" w:cs="Arial"/>
          <w:kern w:val="0"/>
          <w:sz w:val="24"/>
          <w:szCs w:val="24"/>
        </w:rPr>
      </w:pPr>
      <w:r w:rsidRPr="00641EED">
        <w:rPr>
          <w:rFonts w:ascii="仿宋_GB2312" w:eastAsia="仿宋_GB2312" w:hAnsi="Arial" w:cs="Arial" w:hint="eastAsia"/>
          <w:kern w:val="0"/>
          <w:sz w:val="36"/>
          <w:szCs w:val="36"/>
        </w:rPr>
        <w:t>新平县公安局属县人民政府主管全县公安工作的行政部门，财政全额拨款正科级单位，按照《新平彝族傣族自治县公安局主要职责内设机构和人员编制规定》（新政办发〔2013〕60号）、《关于调整新平县公安局机构编制的批复》（新机编〔2013〕15号）等相关文件规定，新平县公安局设17个内设机构（指挥中心、政治工作办公室等综合管理机构4个，刑侦大队、治安大队、交警大队等执法勤务机构13个）；桂山派出所、戛洒派出所等11个派出机构和看守所、拘留所2个监管场所。其中，交通警察大队为正科级（财务单列），纪检监察室、警务督察大队、网络安全保卫大队和爆炸危险物品监管大队为股级，其余机</w:t>
      </w:r>
      <w:r w:rsidRPr="00641EED">
        <w:rPr>
          <w:rFonts w:ascii="仿宋_GB2312" w:eastAsia="仿宋_GB2312" w:hAnsi="Arial" w:cs="Arial" w:hint="eastAsia"/>
          <w:kern w:val="0"/>
          <w:sz w:val="36"/>
          <w:szCs w:val="36"/>
        </w:rPr>
        <w:lastRenderedPageBreak/>
        <w:t>构为副科级；交通警察大队下设的办公室和中队为副科级，其余部门下设的机构为股级。</w:t>
      </w:r>
    </w:p>
    <w:p w:rsidR="00641EED" w:rsidRPr="00641EED" w:rsidRDefault="00641EED" w:rsidP="00641EED">
      <w:pPr>
        <w:widowControl/>
        <w:spacing w:before="90" w:line="600" w:lineRule="atLeast"/>
        <w:jc w:val="left"/>
        <w:rPr>
          <w:rFonts w:ascii="Arial" w:eastAsia="宋体" w:hAnsi="Arial" w:cs="Arial"/>
          <w:kern w:val="0"/>
          <w:sz w:val="24"/>
          <w:szCs w:val="24"/>
        </w:rPr>
      </w:pPr>
      <w:r w:rsidRPr="00641EED">
        <w:rPr>
          <w:rFonts w:ascii="仿宋_GB2312" w:eastAsia="仿宋_GB2312" w:hAnsi="Arial" w:cs="Arial" w:hint="eastAsia"/>
          <w:kern w:val="0"/>
          <w:sz w:val="36"/>
          <w:szCs w:val="36"/>
        </w:rPr>
        <w:t>(二)2018年度重点工作任务</w:t>
      </w:r>
    </w:p>
    <w:p w:rsidR="00641EED" w:rsidRPr="00641EED" w:rsidRDefault="00641EED" w:rsidP="00641EED">
      <w:pPr>
        <w:widowControl/>
        <w:spacing w:before="90" w:line="600" w:lineRule="atLeast"/>
        <w:jc w:val="left"/>
        <w:rPr>
          <w:rFonts w:ascii="Arial" w:eastAsia="宋体" w:hAnsi="Arial" w:cs="Arial"/>
          <w:kern w:val="0"/>
          <w:sz w:val="24"/>
          <w:szCs w:val="24"/>
        </w:rPr>
      </w:pPr>
      <w:r w:rsidRPr="00641EED">
        <w:rPr>
          <w:rFonts w:ascii="仿宋_GB2312" w:eastAsia="仿宋_GB2312" w:hAnsi="Arial" w:cs="Arial" w:hint="eastAsia"/>
          <w:kern w:val="0"/>
          <w:sz w:val="36"/>
          <w:szCs w:val="36"/>
        </w:rPr>
        <w:t>贯彻执行党中央国务院、省委省政府、市委市政府和县委县政府关于公安工作的方针、政策、规章和制度；查处危害社会治安秩序行为和刑事案件；侦破走私、制造、贩卖、运输毒品以及易制毒化学品的犯罪案件，组织开展禁种、禁吸毒品工作；负责全县经济犯罪防范和侦查工作；负责社会治安、户籍、居民身份证、枪支弹药、危险物品、特种行业、外国人和出入境管理工作；指导、监督国家机关、社会团体、企事业单位和重点建设工程的治安防范、安全保卫；负责查处影响社会政治稳定的不安定因素，防范和打击各种邪教组织和境内外敌对势力的渗透破坏活动，组织开展</w:t>
      </w:r>
      <w:r w:rsidRPr="00641EED">
        <w:rPr>
          <w:rFonts w:ascii="仿宋_GB2312" w:eastAsia="仿宋_GB2312" w:hAnsi="Arial" w:cs="Arial" w:hint="eastAsia"/>
          <w:kern w:val="0"/>
          <w:sz w:val="36"/>
          <w:szCs w:val="36"/>
        </w:rPr>
        <w:lastRenderedPageBreak/>
        <w:t>反恐怖工作；负责维护道路交通安全、交通秩序，依法管理机动车辆、驾驶人，组织查处各类交通事故；负责全县公安队伍思想政治、文化、作风建设以及纪律检查和警务督察等工作，规划、指导和管理全县公安队伍的正规化建设及公安民警的教育训练工作;配合组织部门做好干部培养、考察和推荐工作</w:t>
      </w:r>
    </w:p>
    <w:p w:rsidR="00641EED" w:rsidRPr="00641EED" w:rsidRDefault="00641EED" w:rsidP="00641EED">
      <w:pPr>
        <w:widowControl/>
        <w:spacing w:before="75" w:after="75" w:line="600" w:lineRule="atLeast"/>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二、部门基本情况</w:t>
      </w:r>
    </w:p>
    <w:p w:rsidR="00641EED" w:rsidRPr="00641EED" w:rsidRDefault="00641EED" w:rsidP="00641EED">
      <w:pPr>
        <w:widowControl/>
        <w:spacing w:before="75" w:after="75" w:line="600" w:lineRule="atLeast"/>
        <w:ind w:firstLine="600"/>
        <w:jc w:val="left"/>
        <w:rPr>
          <w:rFonts w:ascii="Arial" w:eastAsia="宋体" w:hAnsi="Arial" w:cs="Arial"/>
          <w:kern w:val="0"/>
          <w:sz w:val="24"/>
          <w:szCs w:val="24"/>
        </w:rPr>
      </w:pPr>
      <w:r w:rsidRPr="00641EED">
        <w:rPr>
          <w:rFonts w:ascii="楷体" w:eastAsia="楷体" w:hAnsi="楷体" w:cs="Arial" w:hint="eastAsia"/>
          <w:kern w:val="0"/>
          <w:sz w:val="30"/>
          <w:szCs w:val="30"/>
        </w:rPr>
        <w:t>（一）部门决算单位构成</w:t>
      </w:r>
    </w:p>
    <w:p w:rsidR="00641EED" w:rsidRPr="00641EED" w:rsidRDefault="00641EED" w:rsidP="00641EED">
      <w:pPr>
        <w:widowControl/>
        <w:spacing w:before="75" w:after="75" w:line="600" w:lineRule="atLeast"/>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纳入2018年度部门决算编报的单位共1个。其中：行政单位1个。</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楷体" w:eastAsia="楷体" w:hAnsi="楷体" w:cs="Arial" w:hint="eastAsia"/>
          <w:kern w:val="0"/>
          <w:sz w:val="30"/>
          <w:szCs w:val="30"/>
        </w:rPr>
        <w:t>（二）部门人员和车辆的编制及实有情况</w:t>
      </w:r>
    </w:p>
    <w:p w:rsidR="00641EED" w:rsidRPr="00641EED" w:rsidRDefault="00641EED" w:rsidP="00641EED">
      <w:pPr>
        <w:widowControl/>
        <w:spacing w:before="75" w:after="75" w:line="555" w:lineRule="atLeast"/>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全局核定编制数为248名，其中：政法专项编制243名，工勤编制5名。2018年12月实有在职在编人数202人，其中：公务员200人，机关工人2人；编外在职人员365人。局领导班子成员实有局长1人、政委1人、副局长4人、副政委1人、纪检组长1人、政工室主任1人、交警大队长1人共10人，全局实职副科级及以上领导共74名，其中：副县级2人、正科级21人、副科级51人，退休人员34人。</w:t>
      </w:r>
    </w:p>
    <w:p w:rsidR="00641EED" w:rsidRPr="00641EED" w:rsidRDefault="00641EED" w:rsidP="00641EED">
      <w:pPr>
        <w:widowControl/>
        <w:spacing w:before="75" w:after="75" w:line="555" w:lineRule="atLeast"/>
        <w:ind w:firstLine="750"/>
        <w:jc w:val="left"/>
        <w:rPr>
          <w:rFonts w:ascii="Arial" w:eastAsia="宋体" w:hAnsi="Arial" w:cs="Arial"/>
          <w:kern w:val="0"/>
          <w:sz w:val="24"/>
          <w:szCs w:val="24"/>
        </w:rPr>
      </w:pPr>
      <w:r w:rsidRPr="00641EED">
        <w:rPr>
          <w:rFonts w:ascii="仿宋_GB2312" w:eastAsia="仿宋_GB2312" w:hAnsi="Arial" w:cs="Arial" w:hint="eastAsia"/>
          <w:kern w:val="0"/>
          <w:sz w:val="30"/>
          <w:szCs w:val="30"/>
        </w:rPr>
        <w:lastRenderedPageBreak/>
        <w:t>全局车辆编制数33辆，实有车辆33辆。</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宋体" w:eastAsia="宋体" w:hAnsi="宋体" w:cs="宋体" w:hint="eastAsia"/>
          <w:kern w:val="0"/>
          <w:sz w:val="30"/>
          <w:szCs w:val="30"/>
        </w:rPr>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黑体" w:eastAsia="黑体" w:hAnsi="黑体" w:cs="Arial" w:hint="eastAsia"/>
          <w:kern w:val="0"/>
          <w:sz w:val="32"/>
          <w:szCs w:val="32"/>
        </w:rPr>
        <w:t>第二部分</w:t>
      </w:r>
      <w:r w:rsidRPr="00641EED">
        <w:rPr>
          <w:rFonts w:ascii="宋体" w:eastAsia="宋体" w:hAnsi="宋体" w:cs="宋体" w:hint="eastAsia"/>
          <w:kern w:val="0"/>
          <w:sz w:val="32"/>
          <w:szCs w:val="32"/>
        </w:rPr>
        <w:t> </w:t>
      </w:r>
      <w:r w:rsidRPr="00641EED">
        <w:rPr>
          <w:rFonts w:ascii="黑体" w:eastAsia="黑体" w:hAnsi="黑体" w:cs="黑体" w:hint="eastAsia"/>
          <w:kern w:val="0"/>
          <w:sz w:val="32"/>
          <w:szCs w:val="32"/>
        </w:rPr>
        <w:t xml:space="preserve"> 2018</w:t>
      </w:r>
      <w:r w:rsidRPr="00641EED">
        <w:rPr>
          <w:rFonts w:ascii="黑体" w:eastAsia="黑体" w:hAnsi="黑体" w:cs="Arial" w:hint="eastAsia"/>
          <w:kern w:val="0"/>
          <w:sz w:val="32"/>
          <w:szCs w:val="32"/>
        </w:rPr>
        <w:t>年度部门决算表</w:t>
      </w:r>
    </w:p>
    <w:p w:rsidR="00641EED" w:rsidRPr="00641EED" w:rsidRDefault="00641EED" w:rsidP="00641EED">
      <w:pPr>
        <w:widowControl/>
        <w:spacing w:before="75" w:after="75" w:line="600" w:lineRule="atLeast"/>
        <w:ind w:firstLine="600"/>
        <w:jc w:val="center"/>
        <w:rPr>
          <w:rFonts w:ascii="Arial" w:eastAsia="宋体" w:hAnsi="Arial" w:cs="Arial"/>
          <w:kern w:val="0"/>
          <w:sz w:val="24"/>
          <w:szCs w:val="24"/>
        </w:rPr>
      </w:pPr>
      <w:r w:rsidRPr="00641EED">
        <w:rPr>
          <w:rFonts w:ascii="仿宋_GB2312" w:eastAsia="仿宋_GB2312" w:hAnsi="Arial" w:cs="Arial" w:hint="eastAsia"/>
          <w:kern w:val="0"/>
          <w:sz w:val="30"/>
          <w:szCs w:val="30"/>
        </w:rPr>
        <w:t>（详见附件）</w:t>
      </w:r>
    </w:p>
    <w:p w:rsidR="00641EED" w:rsidRPr="00641EED" w:rsidRDefault="00641EED" w:rsidP="00641EED">
      <w:pPr>
        <w:widowControl/>
        <w:spacing w:before="75" w:after="75" w:line="600" w:lineRule="atLeast"/>
        <w:ind w:firstLine="600"/>
        <w:jc w:val="center"/>
        <w:rPr>
          <w:rFonts w:ascii="Arial" w:eastAsia="宋体" w:hAnsi="Arial" w:cs="Arial"/>
          <w:kern w:val="0"/>
          <w:sz w:val="24"/>
          <w:szCs w:val="24"/>
        </w:rPr>
      </w:pPr>
      <w:r w:rsidRPr="00641EED">
        <w:rPr>
          <w:rFonts w:ascii="仿宋_GB2312" w:eastAsia="仿宋_GB2312" w:hAnsi="Arial" w:cs="Arial" w:hint="eastAsia"/>
          <w:kern w:val="0"/>
          <w:sz w:val="30"/>
          <w:szCs w:val="30"/>
        </w:rPr>
        <w:t> </w:t>
      </w:r>
    </w:p>
    <w:p w:rsidR="00641EED" w:rsidRPr="00641EED" w:rsidRDefault="00641EED" w:rsidP="00641EED">
      <w:pPr>
        <w:widowControl/>
        <w:spacing w:before="75" w:after="75"/>
        <w:jc w:val="center"/>
        <w:rPr>
          <w:rFonts w:ascii="Arial" w:eastAsia="宋体" w:hAnsi="Arial" w:cs="Arial"/>
          <w:kern w:val="0"/>
          <w:sz w:val="24"/>
          <w:szCs w:val="24"/>
        </w:rPr>
      </w:pPr>
      <w:r w:rsidRPr="00641EED">
        <w:rPr>
          <w:rFonts w:ascii="黑体" w:eastAsia="黑体" w:hAnsi="黑体" w:cs="Arial" w:hint="eastAsia"/>
          <w:kern w:val="0"/>
          <w:sz w:val="32"/>
          <w:szCs w:val="32"/>
        </w:rPr>
        <w:t>第三部分</w:t>
      </w:r>
      <w:r w:rsidRPr="00641EED">
        <w:rPr>
          <w:rFonts w:ascii="宋体" w:eastAsia="宋体" w:hAnsi="宋体" w:cs="宋体" w:hint="eastAsia"/>
          <w:kern w:val="0"/>
          <w:sz w:val="32"/>
          <w:szCs w:val="32"/>
        </w:rPr>
        <w:t> </w:t>
      </w:r>
      <w:r w:rsidRPr="00641EED">
        <w:rPr>
          <w:rFonts w:ascii="黑体" w:eastAsia="黑体" w:hAnsi="黑体" w:cs="黑体" w:hint="eastAsia"/>
          <w:kern w:val="0"/>
          <w:sz w:val="32"/>
          <w:szCs w:val="32"/>
        </w:rPr>
        <w:t xml:space="preserve"> 2018</w:t>
      </w:r>
      <w:r w:rsidRPr="00641EED">
        <w:rPr>
          <w:rFonts w:ascii="黑体" w:eastAsia="黑体" w:hAnsi="黑体" w:cs="Arial" w:hint="eastAsia"/>
          <w:kern w:val="0"/>
          <w:sz w:val="32"/>
          <w:szCs w:val="32"/>
        </w:rPr>
        <w:t>年度部门决算情况说明</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一、收入决算情况说明</w:t>
      </w:r>
    </w:p>
    <w:p w:rsidR="00641EED" w:rsidRPr="00641EED" w:rsidRDefault="00641EED" w:rsidP="00641EED">
      <w:pPr>
        <w:widowControl/>
        <w:spacing w:before="105" w:after="105" w:line="600" w:lineRule="atLeast"/>
        <w:ind w:firstLine="540"/>
        <w:jc w:val="left"/>
        <w:rPr>
          <w:rFonts w:ascii="Arial" w:eastAsia="宋体" w:hAnsi="Arial" w:cs="Arial"/>
          <w:kern w:val="0"/>
          <w:sz w:val="24"/>
          <w:szCs w:val="24"/>
        </w:rPr>
      </w:pPr>
      <w:r w:rsidRPr="00641EED">
        <w:rPr>
          <w:rFonts w:ascii="仿宋_GB2312" w:eastAsia="仿宋_GB2312" w:hAnsi="Arial" w:cs="Arial" w:hint="eastAsia"/>
          <w:kern w:val="0"/>
          <w:sz w:val="30"/>
          <w:szCs w:val="30"/>
        </w:rPr>
        <w:t>新平县公安局2018年度收入合计78040192.9元。其中：财政拨款收入77418016.1元，占总收入的99.2%；上级补助收入0元，占总收入的0%；事业收入0元，占总收入的0%；经营收入0元，占总收入的0%；附属单位缴款收入0元，占总收入的0%；其他收入622176.8元，占总收入的0.8%。上年收入70600864.82元，与上年对比增7439328元，增10.53%，主要原因分析为日常公用经费增加，商品和服务支出增加。</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二、支出决算情况说明</w:t>
      </w:r>
    </w:p>
    <w:p w:rsidR="00641EED" w:rsidRPr="00641EED" w:rsidRDefault="00641EED" w:rsidP="00641EED">
      <w:pPr>
        <w:widowControl/>
        <w:spacing w:before="105" w:after="105" w:line="600" w:lineRule="atLeast"/>
        <w:ind w:firstLine="540"/>
        <w:jc w:val="left"/>
        <w:rPr>
          <w:rFonts w:ascii="Arial" w:eastAsia="宋体" w:hAnsi="Arial" w:cs="Arial"/>
          <w:kern w:val="0"/>
          <w:sz w:val="24"/>
          <w:szCs w:val="24"/>
        </w:rPr>
      </w:pPr>
      <w:r w:rsidRPr="00641EED">
        <w:rPr>
          <w:rFonts w:ascii="仿宋_GB2312" w:eastAsia="仿宋_GB2312" w:hAnsi="Arial" w:cs="Arial" w:hint="eastAsia"/>
          <w:kern w:val="0"/>
          <w:sz w:val="30"/>
          <w:szCs w:val="30"/>
        </w:rPr>
        <w:t>新平县公安局2018年度支出合计76861771.06元。其中：基本支出66846049.73元，占总支出的86.9％；项目支出10015721.33元，占总支出的13.1％；上缴上级支出、经营支出、对附属单位补助支出共0元，占总支出的0％。上年决算支出为71898755.43元，与上年对比增4963015.63元，增6.9%，</w:t>
      </w:r>
      <w:r w:rsidRPr="00641EED">
        <w:rPr>
          <w:rFonts w:ascii="仿宋_GB2312" w:eastAsia="仿宋_GB2312" w:hAnsi="Arial" w:cs="Arial" w:hint="eastAsia"/>
          <w:kern w:val="0"/>
          <w:sz w:val="30"/>
          <w:szCs w:val="30"/>
        </w:rPr>
        <w:lastRenderedPageBreak/>
        <w:t>主要原因分析为其他收入增加，日常公用经费增加，商品和服务支出增加。</w:t>
      </w:r>
    </w:p>
    <w:p w:rsidR="00641EED" w:rsidRPr="00641EED" w:rsidRDefault="00641EED" w:rsidP="00641EED">
      <w:pPr>
        <w:widowControl/>
        <w:spacing w:before="105" w:after="105" w:line="600" w:lineRule="atLeast"/>
        <w:ind w:firstLine="600"/>
        <w:jc w:val="left"/>
        <w:rPr>
          <w:rFonts w:ascii="Arial" w:eastAsia="宋体" w:hAnsi="Arial" w:cs="Arial"/>
          <w:kern w:val="0"/>
          <w:sz w:val="24"/>
          <w:szCs w:val="24"/>
        </w:rPr>
      </w:pPr>
      <w:r w:rsidRPr="00641EED">
        <w:rPr>
          <w:rFonts w:ascii="楷体" w:eastAsia="楷体" w:hAnsi="楷体" w:cs="Arial" w:hint="eastAsia"/>
          <w:kern w:val="0"/>
          <w:sz w:val="30"/>
          <w:szCs w:val="30"/>
        </w:rPr>
        <w:t>（一）基本支出情况</w:t>
      </w:r>
    </w:p>
    <w:p w:rsidR="0026323A" w:rsidRDefault="00641EED" w:rsidP="00641EED">
      <w:pPr>
        <w:widowControl/>
        <w:spacing w:before="105" w:after="105" w:line="600" w:lineRule="atLeast"/>
        <w:ind w:firstLine="600"/>
        <w:jc w:val="left"/>
        <w:rPr>
          <w:rFonts w:ascii="仿宋_GB2312" w:eastAsia="仿宋_GB2312" w:hAnsi="Arial" w:cs="Arial"/>
          <w:kern w:val="0"/>
          <w:sz w:val="30"/>
          <w:szCs w:val="30"/>
        </w:rPr>
      </w:pPr>
      <w:r w:rsidRPr="00641EED">
        <w:rPr>
          <w:rFonts w:ascii="仿宋_GB2312" w:eastAsia="仿宋_GB2312" w:hAnsi="Arial" w:cs="Arial" w:hint="eastAsia"/>
          <w:kern w:val="0"/>
          <w:sz w:val="30"/>
          <w:szCs w:val="30"/>
        </w:rPr>
        <w:t>2018年度用于保障新平县公安局机关、下属派出所等机构正常运转的日常支出66766049.73元。上年支出为62785545.21元，与上年对比增3980504.52元,主要原因分析为日常公用经费增加。包括基本工资、津贴补贴等人员经费支出占基本支出的88.97％；办公费、印刷费、水电费、办公设备购置等日常公用经费占基本支出的11.03％。</w:t>
      </w:r>
    </w:p>
    <w:p w:rsidR="00641EED" w:rsidRPr="00641EED" w:rsidRDefault="00641EED" w:rsidP="00641EED">
      <w:pPr>
        <w:widowControl/>
        <w:spacing w:before="105" w:after="105" w:line="600" w:lineRule="atLeast"/>
        <w:ind w:firstLine="600"/>
        <w:jc w:val="left"/>
        <w:rPr>
          <w:rFonts w:ascii="Arial" w:eastAsia="宋体" w:hAnsi="Arial" w:cs="Arial"/>
          <w:kern w:val="0"/>
          <w:sz w:val="24"/>
          <w:szCs w:val="24"/>
        </w:rPr>
      </w:pPr>
      <w:r w:rsidRPr="00641EED">
        <w:rPr>
          <w:rFonts w:ascii="楷体" w:eastAsia="楷体" w:hAnsi="楷体" w:cs="Arial" w:hint="eastAsia"/>
          <w:kern w:val="0"/>
          <w:sz w:val="30"/>
          <w:szCs w:val="30"/>
        </w:rPr>
        <w:t>（二）项目支出情况</w:t>
      </w:r>
    </w:p>
    <w:p w:rsidR="00641EED" w:rsidRPr="00641EED" w:rsidRDefault="00641EED" w:rsidP="00641EED">
      <w:pPr>
        <w:widowControl/>
        <w:spacing w:before="105" w:after="105" w:line="600" w:lineRule="atLeast"/>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2018年度用于保障新平县公安局机构、下属派出所等机构为完成特定的行政工作任务或事业发展目标，用于专项业务工作的经费支出7842494.44元。上年为10777298.3元，与上年对比减少2934803.86元,主要原因分析为国内安全保卫工作经费、出入境管理和禁毒管理等经费减少。具体项目开支及开展工作情况为民族团结专项支出50000元，组织事务41900元，公共安全支出7750594.44元。</w:t>
      </w:r>
    </w:p>
    <w:p w:rsidR="00641EED" w:rsidRPr="00641EED" w:rsidRDefault="00641EED" w:rsidP="00641EED">
      <w:pPr>
        <w:widowControl/>
        <w:spacing w:before="105" w:after="105" w:line="600" w:lineRule="atLeast"/>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三、一般公共预算财政拨款支出决算情况说明</w:t>
      </w:r>
    </w:p>
    <w:p w:rsidR="00641EED" w:rsidRPr="00641EED" w:rsidRDefault="00641EED" w:rsidP="00641EED">
      <w:pPr>
        <w:widowControl/>
        <w:spacing w:before="105" w:after="105" w:line="600" w:lineRule="atLeast"/>
        <w:ind w:firstLine="600"/>
        <w:jc w:val="left"/>
        <w:rPr>
          <w:rFonts w:ascii="Arial" w:eastAsia="宋体" w:hAnsi="Arial" w:cs="Arial"/>
          <w:kern w:val="0"/>
          <w:sz w:val="24"/>
          <w:szCs w:val="24"/>
        </w:rPr>
      </w:pPr>
      <w:r w:rsidRPr="00641EED">
        <w:rPr>
          <w:rFonts w:ascii="楷体" w:eastAsia="楷体" w:hAnsi="楷体" w:cs="Arial" w:hint="eastAsia"/>
          <w:kern w:val="0"/>
          <w:sz w:val="30"/>
          <w:szCs w:val="30"/>
        </w:rPr>
        <w:t>（一）一般公共预算财政拨款支出决算总体情况</w:t>
      </w:r>
    </w:p>
    <w:p w:rsidR="00641EED" w:rsidRPr="00641EED" w:rsidRDefault="00641EED" w:rsidP="00641EED">
      <w:pPr>
        <w:widowControl/>
        <w:spacing w:before="105" w:after="105" w:line="600" w:lineRule="atLeast"/>
        <w:ind w:firstLine="540"/>
        <w:jc w:val="left"/>
        <w:rPr>
          <w:rFonts w:ascii="Arial" w:eastAsia="宋体" w:hAnsi="Arial" w:cs="Arial"/>
          <w:kern w:val="0"/>
          <w:sz w:val="24"/>
          <w:szCs w:val="24"/>
        </w:rPr>
      </w:pPr>
      <w:r w:rsidRPr="00641EED">
        <w:rPr>
          <w:rFonts w:ascii="仿宋_GB2312" w:eastAsia="仿宋_GB2312" w:hAnsi="Arial" w:cs="Arial" w:hint="eastAsia"/>
          <w:kern w:val="0"/>
          <w:sz w:val="30"/>
          <w:szCs w:val="30"/>
        </w:rPr>
        <w:t>新平县公安局2018年度一般公共预算财政拨款支76355016.1元,占本年支出合计的96.77%。上年为70600864.82</w:t>
      </w:r>
      <w:r w:rsidRPr="00641EED">
        <w:rPr>
          <w:rFonts w:ascii="仿宋_GB2312" w:eastAsia="仿宋_GB2312" w:hAnsi="Arial" w:cs="Arial" w:hint="eastAsia"/>
          <w:kern w:val="0"/>
          <w:sz w:val="30"/>
          <w:szCs w:val="30"/>
        </w:rPr>
        <w:lastRenderedPageBreak/>
        <w:t>元，与上年对比增754151.28元,主要原因分析为日常公用经费增加，商品和服务支出增加。</w:t>
      </w:r>
    </w:p>
    <w:p w:rsidR="00641EED" w:rsidRPr="00641EED" w:rsidRDefault="00641EED" w:rsidP="00641EED">
      <w:pPr>
        <w:widowControl/>
        <w:spacing w:before="105" w:after="105" w:line="600" w:lineRule="atLeast"/>
        <w:ind w:firstLine="600"/>
        <w:jc w:val="left"/>
        <w:rPr>
          <w:rFonts w:ascii="Arial" w:eastAsia="宋体" w:hAnsi="Arial" w:cs="Arial"/>
          <w:kern w:val="0"/>
          <w:sz w:val="24"/>
          <w:szCs w:val="24"/>
        </w:rPr>
      </w:pPr>
      <w:r w:rsidRPr="00641EED">
        <w:rPr>
          <w:rFonts w:ascii="楷体" w:eastAsia="楷体" w:hAnsi="楷体" w:cs="Arial" w:hint="eastAsia"/>
          <w:kern w:val="0"/>
          <w:sz w:val="30"/>
          <w:szCs w:val="30"/>
        </w:rPr>
        <w:t>（二）一般公共预算财政拨款支出决算具体情况</w:t>
      </w:r>
      <w:r w:rsidRPr="00641EED">
        <w:rPr>
          <w:rFonts w:ascii="宋体" w:eastAsia="宋体" w:hAnsi="宋体" w:cs="宋体" w:hint="eastAsia"/>
          <w:kern w:val="0"/>
          <w:sz w:val="30"/>
          <w:szCs w:val="30"/>
        </w:rPr>
        <w:t>   </w:t>
      </w:r>
      <w:r w:rsidRPr="00641EED">
        <w:rPr>
          <w:rFonts w:ascii="楷体" w:eastAsia="楷体" w:hAnsi="楷体" w:cs="楷体" w:hint="eastAsia"/>
          <w:kern w:val="0"/>
          <w:sz w:val="30"/>
          <w:szCs w:val="30"/>
        </w:rPr>
        <w:t xml:space="preserve"> </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1.一般公共服务（类）支出92900元，占一般公共预算财政拨款总支出的0.12%。主要用于2012304民族工作专项支出50000元；20132组织事务支出42900元；</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2.公共安全（类）支出63973898.94元，占一般公共预算财政拨款总支出的83.78%。主要用于2040201行政运行53640904.5；2040205国内安全保卫100000元；2040207经济犯罪侦查100000元；2040208出入境管理55302.27元，2040211禁毒管理1040800元；2040212道路交通管理660000元；2040214反恐怖300000元；2040216网络运行及维护370000元；2040217拘押收教场所管理1056000元，2040219信息化建设1686000元，2040299其他公安支出4964892.17元。</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3.社会保障和就业（类）支出5874543元，占一般公共预算财政拨款总支出7.7%。主要用于2080501归口管理的行政单位离退休支出985000元；2080505机关事业单位基本养老保险缴费支出4085842.2元；2080506机关事业单位职业年金缴费支出159856.48元；2080599其他行政事业单位离退休支出5620元；2080801死亡抚恤503438元； 2082701财政对失业</w:t>
      </w:r>
      <w:r w:rsidRPr="00641EED">
        <w:rPr>
          <w:rFonts w:ascii="仿宋_GB2312" w:eastAsia="仿宋_GB2312" w:hAnsi="Arial" w:cs="Arial" w:hint="eastAsia"/>
          <w:kern w:val="0"/>
          <w:sz w:val="30"/>
          <w:szCs w:val="30"/>
        </w:rPr>
        <w:lastRenderedPageBreak/>
        <w:t>保险基金的补助支出819.39元；2082702财政对工伤保险基金的补助支出72136.04元；2082703财政对生育保险基金的补助支出61830.89元；</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4.医疗卫生与计划生育（类）支出2834321.16元，占一般公共预算财政拨款总支出的3.71%。主要用于2101101行政单位医疗支出1710071.68元；2101103公务员医疗补助支出1124249.48元。</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5.住房保障（类）支出3579353元，占一般公共预算财政拨款总支出的4.69%.主要用于2210201住房公积金支出3579353元。</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四、一般公共预算财政拨款“三公”经费支出决算情况说明</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宋体" w:eastAsia="宋体" w:hAnsi="宋体" w:cs="宋体" w:hint="eastAsia"/>
          <w:kern w:val="0"/>
          <w:sz w:val="30"/>
          <w:szCs w:val="30"/>
        </w:rPr>
        <w:t> </w:t>
      </w:r>
      <w:r w:rsidRPr="00641EED">
        <w:rPr>
          <w:rFonts w:ascii="楷体" w:eastAsia="楷体" w:hAnsi="楷体" w:cs="楷体" w:hint="eastAsia"/>
          <w:kern w:val="0"/>
          <w:sz w:val="30"/>
          <w:szCs w:val="30"/>
        </w:rPr>
        <w:t>(</w:t>
      </w:r>
      <w:r w:rsidRPr="00641EED">
        <w:rPr>
          <w:rFonts w:ascii="楷体" w:eastAsia="楷体" w:hAnsi="楷体" w:cs="Arial" w:hint="eastAsia"/>
          <w:kern w:val="0"/>
          <w:sz w:val="30"/>
          <w:szCs w:val="30"/>
        </w:rPr>
        <w:t>一)</w:t>
      </w:r>
      <w:r w:rsidRPr="00641EED">
        <w:rPr>
          <w:rFonts w:ascii="Arial" w:eastAsia="宋体" w:hAnsi="Arial" w:cs="Arial"/>
          <w:kern w:val="0"/>
          <w:sz w:val="24"/>
          <w:szCs w:val="24"/>
        </w:rPr>
        <w:t xml:space="preserve"> </w:t>
      </w:r>
      <w:r w:rsidRPr="00641EED">
        <w:rPr>
          <w:rFonts w:ascii="楷体" w:eastAsia="楷体" w:hAnsi="楷体" w:cs="Arial" w:hint="eastAsia"/>
          <w:kern w:val="0"/>
          <w:sz w:val="30"/>
          <w:szCs w:val="30"/>
        </w:rPr>
        <w:t>一般公共预算财政拨款“三公”经费支出决算总体情况</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新平县公安局2018年度一般公共预算财政拨款“三公”经费支出预算为0元，支出决算为2013199.43元。其中：因公出国（境）费支出决算为0元；公务用车购置及运行费支出决算为1909648.43元，其中公务用车购置费1080232.75，公务用车运行维护费为829415.68；公务接待费支出决算为103551元。</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2018年度一般公共预算财政拨款“三公”经费支出决算数比2017增加929852.43元，增长85.83%。其中：因公出国（境）费支出决算增加/减少0元，增长/下降0%；公务用车购置及运</w:t>
      </w:r>
      <w:r w:rsidRPr="00641EED">
        <w:rPr>
          <w:rFonts w:ascii="仿宋_GB2312" w:eastAsia="仿宋_GB2312" w:hAnsi="Arial" w:cs="Arial" w:hint="eastAsia"/>
          <w:kern w:val="0"/>
          <w:sz w:val="30"/>
          <w:szCs w:val="30"/>
        </w:rPr>
        <w:lastRenderedPageBreak/>
        <w:t>行费支出决算增加959648.43元，增长101.01%；公务接待费支出决算减少29796元，下降22.34%。2018年度一般公共预算财政拨款“三公”经费支出决算增加的主要原因为购置公务用车。</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楷体" w:eastAsia="楷体" w:hAnsi="楷体" w:cs="Arial" w:hint="eastAsia"/>
          <w:kern w:val="0"/>
          <w:sz w:val="30"/>
          <w:szCs w:val="30"/>
        </w:rPr>
        <w:t>(二)</w:t>
      </w:r>
      <w:r w:rsidRPr="00641EED">
        <w:rPr>
          <w:rFonts w:ascii="Arial" w:eastAsia="宋体" w:hAnsi="Arial" w:cs="Arial"/>
          <w:kern w:val="0"/>
          <w:sz w:val="24"/>
          <w:szCs w:val="24"/>
        </w:rPr>
        <w:t xml:space="preserve"> </w:t>
      </w:r>
      <w:r w:rsidRPr="00641EED">
        <w:rPr>
          <w:rFonts w:ascii="楷体" w:eastAsia="楷体" w:hAnsi="楷体" w:cs="Arial" w:hint="eastAsia"/>
          <w:kern w:val="0"/>
          <w:sz w:val="30"/>
          <w:szCs w:val="30"/>
        </w:rPr>
        <w:t>一般公共预算财政拨款“三公”经费支出决算具体情况</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2018年度一般公共预算财政拨款“三公”经费支出决算中，因公出国（境）费支出0元，占0%；公务用车购置及运行维护费支出1909648.43元，占94.86%；公务接待费支出103551元，占5.14%。具体情况如下：</w:t>
      </w:r>
    </w:p>
    <w:p w:rsidR="00CA7186" w:rsidRDefault="00641EED" w:rsidP="00641EED">
      <w:pPr>
        <w:widowControl/>
        <w:spacing w:before="105" w:after="105" w:line="360" w:lineRule="auto"/>
        <w:ind w:firstLine="600"/>
        <w:jc w:val="left"/>
        <w:rPr>
          <w:rFonts w:ascii="仿宋_GB2312" w:eastAsia="仿宋_GB2312" w:hAnsi="Arial" w:cs="Arial"/>
          <w:kern w:val="0"/>
          <w:sz w:val="30"/>
          <w:szCs w:val="30"/>
        </w:rPr>
      </w:pPr>
      <w:r w:rsidRPr="00641EED">
        <w:rPr>
          <w:rFonts w:ascii="仿宋_GB2312" w:eastAsia="仿宋_GB2312" w:hAnsi="Arial" w:cs="Arial" w:hint="eastAsia"/>
          <w:b/>
          <w:bCs/>
          <w:kern w:val="0"/>
          <w:sz w:val="30"/>
        </w:rPr>
        <w:t>1.因公出国（境）费</w:t>
      </w:r>
      <w:r w:rsidRPr="00641EED">
        <w:rPr>
          <w:rFonts w:ascii="仿宋_GB2312" w:eastAsia="仿宋_GB2312" w:hAnsi="Arial" w:cs="Arial" w:hint="eastAsia"/>
          <w:kern w:val="0"/>
          <w:sz w:val="30"/>
          <w:szCs w:val="30"/>
        </w:rPr>
        <w:t>支出0元，共安排因公出国（境）团组0个，累计0人次。</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b/>
          <w:bCs/>
          <w:kern w:val="0"/>
          <w:sz w:val="30"/>
        </w:rPr>
        <w:t>2. 公务用车购置及运行维护费</w:t>
      </w:r>
      <w:r w:rsidRPr="00641EED">
        <w:rPr>
          <w:rFonts w:ascii="仿宋_GB2312" w:eastAsia="仿宋_GB2312" w:hAnsi="Arial" w:cs="Arial" w:hint="eastAsia"/>
          <w:kern w:val="0"/>
          <w:sz w:val="30"/>
          <w:szCs w:val="30"/>
        </w:rPr>
        <w:t>支出1909648.43元。其中：</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b/>
          <w:bCs/>
          <w:kern w:val="0"/>
          <w:sz w:val="30"/>
        </w:rPr>
        <w:t>公务用车购置</w:t>
      </w:r>
      <w:r w:rsidRPr="00641EED">
        <w:rPr>
          <w:rFonts w:ascii="仿宋_GB2312" w:eastAsia="仿宋_GB2312" w:hAnsi="Arial" w:cs="Arial" w:hint="eastAsia"/>
          <w:kern w:val="0"/>
          <w:sz w:val="30"/>
          <w:szCs w:val="30"/>
        </w:rPr>
        <w:t>支出1080232.75元，购置车辆5辆。因办案需要，购置执法执勤车辆。</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b/>
          <w:bCs/>
          <w:kern w:val="0"/>
          <w:sz w:val="30"/>
        </w:rPr>
        <w:t>公务用车运行维护</w:t>
      </w:r>
      <w:r w:rsidRPr="00641EED">
        <w:rPr>
          <w:rFonts w:ascii="仿宋_GB2312" w:eastAsia="仿宋_GB2312" w:hAnsi="Arial" w:cs="Arial" w:hint="eastAsia"/>
          <w:kern w:val="0"/>
          <w:sz w:val="30"/>
          <w:szCs w:val="30"/>
        </w:rPr>
        <w:t>支出829415.68元，开支一般公共预算财政拨款的公务用车保有量为33辆。主要用于新平县公安局（相关工作范围）所需车辆燃料费、维修费、过路过桥费、保险费等。</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b/>
          <w:bCs/>
          <w:kern w:val="0"/>
          <w:sz w:val="30"/>
        </w:rPr>
        <w:t>3.公务接待费</w:t>
      </w:r>
      <w:r w:rsidRPr="00641EED">
        <w:rPr>
          <w:rFonts w:ascii="仿宋_GB2312" w:eastAsia="仿宋_GB2312" w:hAnsi="Arial" w:cs="Arial" w:hint="eastAsia"/>
          <w:kern w:val="0"/>
          <w:sz w:val="30"/>
          <w:szCs w:val="30"/>
        </w:rPr>
        <w:t>支出103551元。其中：</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b/>
          <w:bCs/>
          <w:kern w:val="0"/>
          <w:sz w:val="30"/>
        </w:rPr>
        <w:t>国内接待费</w:t>
      </w:r>
      <w:r w:rsidRPr="00641EED">
        <w:rPr>
          <w:rFonts w:ascii="仿宋_GB2312" w:eastAsia="仿宋_GB2312" w:hAnsi="Arial" w:cs="Arial" w:hint="eastAsia"/>
          <w:kern w:val="0"/>
          <w:sz w:val="30"/>
          <w:szCs w:val="30"/>
        </w:rPr>
        <w:t>支出103551元（其中：外事接待费支出0元），共安排国内公务接待518批次（其中：外事接待0批次），接</w:t>
      </w:r>
      <w:r w:rsidRPr="00641EED">
        <w:rPr>
          <w:rFonts w:ascii="仿宋_GB2312" w:eastAsia="仿宋_GB2312" w:hAnsi="Arial" w:cs="Arial" w:hint="eastAsia"/>
          <w:kern w:val="0"/>
          <w:sz w:val="30"/>
          <w:szCs w:val="30"/>
        </w:rPr>
        <w:lastRenderedPageBreak/>
        <w:t>待人次2070人（其中：外事接待人次0人）。主要用于新平县公安局（相关工作，产生的接待批次及人次等）发生的接待支出。</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b/>
          <w:bCs/>
          <w:kern w:val="0"/>
          <w:sz w:val="30"/>
        </w:rPr>
        <w:t>国（境）外接待费</w:t>
      </w:r>
      <w:r w:rsidRPr="00641EED">
        <w:rPr>
          <w:rFonts w:ascii="仿宋_GB2312" w:eastAsia="仿宋_GB2312" w:hAnsi="Arial" w:cs="Arial" w:hint="eastAsia"/>
          <w:kern w:val="0"/>
          <w:sz w:val="30"/>
          <w:szCs w:val="30"/>
        </w:rPr>
        <w:t>支出0元，共安排国（境）外公务接待0批次，接待人次0人。主要用于新平县公安局（相关工作，产生的接待批次及人次等）发生的接待支出。</w:t>
      </w:r>
    </w:p>
    <w:p w:rsidR="00641EED" w:rsidRPr="00641EED" w:rsidRDefault="00641EED" w:rsidP="00641EED">
      <w:pPr>
        <w:widowControl/>
        <w:spacing w:before="105" w:after="105" w:line="360" w:lineRule="auto"/>
        <w:ind w:firstLine="645"/>
        <w:jc w:val="left"/>
        <w:rPr>
          <w:rFonts w:ascii="Arial" w:eastAsia="宋体" w:hAnsi="Arial" w:cs="Arial"/>
          <w:kern w:val="0"/>
          <w:sz w:val="24"/>
          <w:szCs w:val="24"/>
        </w:rPr>
      </w:pPr>
      <w:r w:rsidRPr="00641EED">
        <w:rPr>
          <w:rFonts w:ascii="黑体" w:eastAsia="黑体" w:hAnsi="黑体" w:cs="Arial" w:hint="eastAsia"/>
          <w:kern w:val="0"/>
          <w:sz w:val="32"/>
          <w:szCs w:val="32"/>
        </w:rPr>
        <w:t>第四部分</w:t>
      </w:r>
      <w:r w:rsidRPr="00641EED">
        <w:rPr>
          <w:rFonts w:ascii="宋体" w:eastAsia="宋体" w:hAnsi="宋体" w:cs="宋体" w:hint="eastAsia"/>
          <w:kern w:val="0"/>
          <w:sz w:val="32"/>
          <w:szCs w:val="32"/>
        </w:rPr>
        <w:t> </w:t>
      </w:r>
      <w:r w:rsidRPr="00641EED">
        <w:rPr>
          <w:rFonts w:ascii="黑体" w:eastAsia="黑体" w:hAnsi="黑体" w:cs="黑体" w:hint="eastAsia"/>
          <w:kern w:val="0"/>
          <w:sz w:val="32"/>
          <w:szCs w:val="32"/>
        </w:rPr>
        <w:t xml:space="preserve"> </w:t>
      </w:r>
      <w:r w:rsidRPr="00641EED">
        <w:rPr>
          <w:rFonts w:ascii="黑体" w:eastAsia="黑体" w:hAnsi="黑体" w:cs="Arial" w:hint="eastAsia"/>
          <w:kern w:val="0"/>
          <w:sz w:val="32"/>
          <w:szCs w:val="32"/>
        </w:rPr>
        <w:t>其他重要事项及相关口径情况说明</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一、机关运行经费支出情况</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新平县公安局2018年机关运行经费支出10047638.33元，与上年对比减少23546.46元,主要原因分析人员经费增加。部门机关运行经费主要用于新平县公安局办公费1330971.03元；印刷费188120元；水费95972.3元；电费576662.63元；邮电费58000元；差旅费981522.38元；维修（护）费923600元；租赁费848008元；会议费2303元；培训费71217元；接待费104472元；专用材料费11352元；被装购置费629243.15元；劳务费317176.09元；工会费220000元；福利费32900元；公务用车运行费856000.68；其他交通费1808400元；其他商品和服务支出991718.57元。</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黑体" w:eastAsia="黑体" w:hAnsi="黑体" w:cs="Arial" w:hint="eastAsia"/>
          <w:color w:val="000000"/>
          <w:kern w:val="0"/>
          <w:sz w:val="30"/>
          <w:szCs w:val="30"/>
        </w:rPr>
        <w:t>二、国有资产占用情况</w:t>
      </w:r>
    </w:p>
    <w:p w:rsidR="00641EED" w:rsidRPr="00641EED" w:rsidRDefault="00641EED" w:rsidP="00641EED">
      <w:pPr>
        <w:widowControl/>
        <w:spacing w:before="75"/>
        <w:ind w:firstLine="600"/>
        <w:jc w:val="left"/>
        <w:rPr>
          <w:rFonts w:ascii="Arial" w:eastAsia="宋体" w:hAnsi="Arial" w:cs="Arial"/>
          <w:kern w:val="0"/>
          <w:sz w:val="24"/>
          <w:szCs w:val="24"/>
        </w:rPr>
      </w:pPr>
      <w:r w:rsidRPr="00641EED">
        <w:rPr>
          <w:rFonts w:ascii="仿宋_GB2312" w:eastAsia="仿宋_GB2312" w:hAnsi="Arial" w:cs="Arial" w:hint="eastAsia"/>
          <w:color w:val="000000"/>
          <w:kern w:val="0"/>
          <w:sz w:val="30"/>
          <w:szCs w:val="30"/>
        </w:rPr>
        <w:t>截至2018年12月31日，新平县公安局资产总额110254474.23元，其中，流动资产5755930.04元，固定资产104498544.19元，对外投资及有价证券0元，在建工程0元，</w:t>
      </w:r>
      <w:r w:rsidRPr="00641EED">
        <w:rPr>
          <w:rFonts w:ascii="仿宋_GB2312" w:eastAsia="仿宋_GB2312" w:hAnsi="Arial" w:cs="Arial" w:hint="eastAsia"/>
          <w:color w:val="000000"/>
          <w:kern w:val="0"/>
          <w:sz w:val="30"/>
          <w:szCs w:val="30"/>
        </w:rPr>
        <w:lastRenderedPageBreak/>
        <w:t>无形资产0元，其他资产0元（具体内容详见附表）。与上年相比，本年资产总额增加7415898.92元，其中流动资产增加4108896.17元；固定资产增加3307002.75元。处置房屋建筑物0平方米，账面原值0元；实现资产处置收入0元；出租房屋0平方米，账面原值0元，实现资产使用收入0元。</w:t>
      </w:r>
    </w:p>
    <w:tbl>
      <w:tblPr>
        <w:tblW w:w="0" w:type="auto"/>
        <w:tblCellMar>
          <w:left w:w="0" w:type="dxa"/>
          <w:right w:w="0" w:type="dxa"/>
        </w:tblCellMar>
        <w:tblLook w:val="04A0"/>
      </w:tblPr>
      <w:tblGrid>
        <w:gridCol w:w="303"/>
        <w:gridCol w:w="303"/>
        <w:gridCol w:w="766"/>
        <w:gridCol w:w="766"/>
        <w:gridCol w:w="303"/>
        <w:gridCol w:w="816"/>
        <w:gridCol w:w="766"/>
        <w:gridCol w:w="303"/>
        <w:gridCol w:w="303"/>
        <w:gridCol w:w="303"/>
        <w:gridCol w:w="585"/>
        <w:gridCol w:w="380"/>
        <w:gridCol w:w="303"/>
        <w:gridCol w:w="303"/>
        <w:gridCol w:w="303"/>
        <w:gridCol w:w="303"/>
        <w:gridCol w:w="303"/>
        <w:gridCol w:w="303"/>
        <w:gridCol w:w="303"/>
        <w:gridCol w:w="303"/>
      </w:tblGrid>
      <w:tr w:rsidR="00641EED" w:rsidRPr="00641EED" w:rsidTr="00641EED">
        <w:trPr>
          <w:trHeight w:val="495"/>
        </w:trPr>
        <w:tc>
          <w:tcPr>
            <w:tcW w:w="10635" w:type="dxa"/>
            <w:gridSpan w:val="19"/>
            <w:tcBorders>
              <w:top w:val="nil"/>
              <w:left w:val="nil"/>
              <w:bottom w:val="nil"/>
              <w:right w:val="nil"/>
            </w:tcBorders>
            <w:shd w:val="clear" w:color="auto" w:fill="FFFFFF"/>
            <w:tcMar>
              <w:top w:w="15" w:type="dxa"/>
              <w:left w:w="15" w:type="dxa"/>
              <w:bottom w:w="15" w:type="dxa"/>
              <w:right w:w="15" w:type="dxa"/>
            </w:tcMar>
            <w:vAlign w:val="center"/>
            <w:hideMark/>
          </w:tcPr>
          <w:p w:rsidR="00641EED" w:rsidRDefault="00641EED" w:rsidP="00641EED">
            <w:pPr>
              <w:widowControl/>
              <w:jc w:val="center"/>
              <w:textAlignment w:val="center"/>
              <w:rPr>
                <w:rFonts w:ascii="仿宋_GB2312" w:eastAsia="仿宋_GB2312" w:hAnsi="Arial" w:cs="Arial"/>
                <w:b/>
                <w:bCs/>
                <w:color w:val="000000"/>
                <w:kern w:val="0"/>
                <w:sz w:val="30"/>
              </w:rPr>
            </w:pPr>
          </w:p>
          <w:p w:rsidR="00641EED" w:rsidRDefault="00641EED" w:rsidP="00641EED">
            <w:pPr>
              <w:widowControl/>
              <w:jc w:val="center"/>
              <w:textAlignment w:val="center"/>
              <w:rPr>
                <w:rFonts w:ascii="仿宋_GB2312" w:eastAsia="仿宋_GB2312" w:hAnsi="Arial" w:cs="Arial"/>
                <w:b/>
                <w:bCs/>
                <w:color w:val="000000"/>
                <w:kern w:val="0"/>
                <w:sz w:val="30"/>
              </w:rPr>
            </w:pPr>
          </w:p>
          <w:p w:rsidR="00641EED" w:rsidRDefault="00641EED" w:rsidP="00641EED">
            <w:pPr>
              <w:widowControl/>
              <w:jc w:val="center"/>
              <w:textAlignment w:val="center"/>
              <w:rPr>
                <w:rFonts w:ascii="仿宋_GB2312" w:eastAsia="仿宋_GB2312" w:hAnsi="Arial" w:cs="Arial"/>
                <w:b/>
                <w:bCs/>
                <w:color w:val="000000"/>
                <w:kern w:val="0"/>
                <w:sz w:val="30"/>
              </w:rPr>
            </w:pPr>
          </w:p>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仿宋_GB2312" w:eastAsia="仿宋_GB2312" w:hAnsi="Arial" w:cs="Arial" w:hint="eastAsia"/>
                <w:b/>
                <w:bCs/>
                <w:color w:val="000000"/>
                <w:kern w:val="0"/>
                <w:sz w:val="30"/>
              </w:rPr>
              <w:t>国有资产占有使用情况表</w:t>
            </w:r>
          </w:p>
        </w:tc>
        <w:tc>
          <w:tcPr>
            <w:tcW w:w="135" w:type="dxa"/>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r>
      <w:tr w:rsidR="00641EED" w:rsidRPr="00641EED" w:rsidTr="00641EED">
        <w:trPr>
          <w:trHeight w:val="345"/>
        </w:trPr>
        <w:tc>
          <w:tcPr>
            <w:tcW w:w="4680" w:type="dxa"/>
            <w:gridSpan w:val="8"/>
            <w:tcBorders>
              <w:top w:val="nil"/>
              <w:left w:val="nil"/>
              <w:bottom w:val="single" w:sz="6" w:space="0" w:color="808080"/>
              <w:right w:val="nil"/>
            </w:tcBorders>
            <w:shd w:val="clear" w:color="auto" w:fill="FFFFFF"/>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870" w:type="dxa"/>
            <w:tcBorders>
              <w:top w:val="nil"/>
              <w:left w:val="nil"/>
              <w:bottom w:val="single" w:sz="6" w:space="0" w:color="808080"/>
              <w:right w:val="nil"/>
            </w:tcBorders>
            <w:shd w:val="clear" w:color="auto" w:fill="FFFFFF"/>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975" w:type="dxa"/>
            <w:gridSpan w:val="2"/>
            <w:tcBorders>
              <w:top w:val="nil"/>
              <w:left w:val="nil"/>
              <w:bottom w:val="single" w:sz="6" w:space="0" w:color="808080"/>
              <w:right w:val="nil"/>
            </w:tcBorders>
            <w:shd w:val="clear" w:color="auto" w:fill="FFFFFF"/>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195" w:type="dxa"/>
            <w:tcBorders>
              <w:top w:val="nil"/>
              <w:left w:val="nil"/>
              <w:bottom w:val="single" w:sz="6" w:space="0" w:color="808080"/>
              <w:right w:val="nil"/>
            </w:tcBorders>
            <w:shd w:val="clear" w:color="auto" w:fill="FFFFFF"/>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975" w:type="dxa"/>
            <w:tcBorders>
              <w:top w:val="nil"/>
              <w:left w:val="nil"/>
              <w:bottom w:val="single" w:sz="6" w:space="0" w:color="808080"/>
              <w:right w:val="nil"/>
            </w:tcBorders>
            <w:shd w:val="clear" w:color="auto" w:fill="FFFFFF"/>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975" w:type="dxa"/>
            <w:tcBorders>
              <w:top w:val="nil"/>
              <w:left w:val="nil"/>
              <w:bottom w:val="single" w:sz="6" w:space="0" w:color="808080"/>
              <w:right w:val="nil"/>
            </w:tcBorders>
            <w:shd w:val="clear" w:color="auto" w:fill="FFFFFF"/>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1950" w:type="dxa"/>
            <w:gridSpan w:val="5"/>
            <w:tcBorders>
              <w:top w:val="nil"/>
              <w:left w:val="nil"/>
              <w:bottom w:val="single" w:sz="6" w:space="0" w:color="808080"/>
              <w:right w:val="nil"/>
            </w:tcBorders>
            <w:shd w:val="clear" w:color="auto" w:fill="FFFFFF"/>
            <w:tcMar>
              <w:top w:w="15" w:type="dxa"/>
              <w:left w:w="15" w:type="dxa"/>
              <w:bottom w:w="15" w:type="dxa"/>
              <w:right w:w="15" w:type="dxa"/>
            </w:tcMar>
            <w:vAlign w:val="center"/>
            <w:hideMark/>
          </w:tcPr>
          <w:p w:rsidR="00641EED" w:rsidRPr="00641EED" w:rsidRDefault="00641EED" w:rsidP="00641EED">
            <w:pPr>
              <w:widowControl/>
              <w:jc w:val="right"/>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单位：元</w:t>
            </w:r>
          </w:p>
        </w:tc>
        <w:tc>
          <w:tcPr>
            <w:tcW w:w="135" w:type="dxa"/>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r>
      <w:tr w:rsidR="00641EED" w:rsidRPr="00641EED" w:rsidTr="00641EED">
        <w:trPr>
          <w:trHeight w:val="420"/>
        </w:trPr>
        <w:tc>
          <w:tcPr>
            <w:tcW w:w="585" w:type="dxa"/>
            <w:vMerge w:val="restart"/>
            <w:tcBorders>
              <w:top w:val="nil"/>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项目</w:t>
            </w:r>
          </w:p>
        </w:tc>
        <w:tc>
          <w:tcPr>
            <w:tcW w:w="420" w:type="dxa"/>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行次</w:t>
            </w:r>
          </w:p>
        </w:tc>
        <w:tc>
          <w:tcPr>
            <w:tcW w:w="960" w:type="dxa"/>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资产总额</w:t>
            </w:r>
          </w:p>
        </w:tc>
        <w:tc>
          <w:tcPr>
            <w:tcW w:w="1035" w:type="dxa"/>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流动资产</w:t>
            </w:r>
          </w:p>
        </w:tc>
        <w:tc>
          <w:tcPr>
            <w:tcW w:w="3720" w:type="dxa"/>
            <w:gridSpan w:val="8"/>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固定资产</w:t>
            </w:r>
          </w:p>
        </w:tc>
        <w:tc>
          <w:tcPr>
            <w:tcW w:w="975" w:type="dxa"/>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对外投资/有价证券</w:t>
            </w:r>
          </w:p>
        </w:tc>
        <w:tc>
          <w:tcPr>
            <w:tcW w:w="975" w:type="dxa"/>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在建工程</w:t>
            </w:r>
          </w:p>
        </w:tc>
        <w:tc>
          <w:tcPr>
            <w:tcW w:w="975" w:type="dxa"/>
            <w:gridSpan w:val="2"/>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无形资产</w:t>
            </w:r>
          </w:p>
        </w:tc>
        <w:tc>
          <w:tcPr>
            <w:tcW w:w="975" w:type="dxa"/>
            <w:gridSpan w:val="3"/>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其他资产</w:t>
            </w:r>
          </w:p>
        </w:tc>
        <w:tc>
          <w:tcPr>
            <w:tcW w:w="135" w:type="dxa"/>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r>
      <w:tr w:rsidR="00641EED" w:rsidRPr="00641EED" w:rsidTr="00641EED">
        <w:trPr>
          <w:trHeight w:val="345"/>
        </w:trPr>
        <w:tc>
          <w:tcPr>
            <w:tcW w:w="0" w:type="auto"/>
            <w:vMerge/>
            <w:tcBorders>
              <w:top w:val="nil"/>
              <w:left w:val="single" w:sz="6" w:space="0" w:color="000000"/>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285" w:type="dxa"/>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小计</w:t>
            </w:r>
          </w:p>
        </w:tc>
        <w:tc>
          <w:tcPr>
            <w:tcW w:w="570" w:type="dxa"/>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房屋构筑物</w:t>
            </w:r>
          </w:p>
        </w:tc>
        <w:tc>
          <w:tcPr>
            <w:tcW w:w="765" w:type="dxa"/>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车辆</w:t>
            </w:r>
          </w:p>
        </w:tc>
        <w:tc>
          <w:tcPr>
            <w:tcW w:w="1260" w:type="dxa"/>
            <w:gridSpan w:val="3"/>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单价200万以上大型设备</w:t>
            </w:r>
          </w:p>
        </w:tc>
        <w:tc>
          <w:tcPr>
            <w:tcW w:w="840" w:type="dxa"/>
            <w:gridSpan w:val="2"/>
            <w:vMerge w:val="restart"/>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其他固定资产</w:t>
            </w: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gridSpan w:val="2"/>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gridSpan w:val="3"/>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135" w:type="dxa"/>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r>
      <w:tr w:rsidR="00641EED" w:rsidRPr="00641EED" w:rsidTr="00641EED">
        <w:trPr>
          <w:trHeight w:val="390"/>
        </w:trPr>
        <w:tc>
          <w:tcPr>
            <w:tcW w:w="0" w:type="auto"/>
            <w:vMerge/>
            <w:tcBorders>
              <w:top w:val="nil"/>
              <w:left w:val="single" w:sz="6" w:space="0" w:color="000000"/>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gridSpan w:val="3"/>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gridSpan w:val="2"/>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gridSpan w:val="2"/>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0" w:type="auto"/>
            <w:gridSpan w:val="3"/>
            <w:vMerge/>
            <w:tcBorders>
              <w:top w:val="nil"/>
              <w:left w:val="nil"/>
              <w:bottom w:val="single" w:sz="6" w:space="0" w:color="000000"/>
              <w:right w:val="single" w:sz="6" w:space="0" w:color="000000"/>
            </w:tcBorders>
            <w:vAlign w:val="center"/>
            <w:hideMark/>
          </w:tcPr>
          <w:p w:rsidR="00641EED" w:rsidRPr="00641EED" w:rsidRDefault="00641EED" w:rsidP="00641EED">
            <w:pPr>
              <w:widowControl/>
              <w:jc w:val="left"/>
              <w:rPr>
                <w:rFonts w:ascii="Arial" w:eastAsia="宋体" w:hAnsi="Arial" w:cs="Arial"/>
                <w:kern w:val="0"/>
                <w:sz w:val="24"/>
                <w:szCs w:val="24"/>
              </w:rPr>
            </w:pPr>
          </w:p>
        </w:tc>
        <w:tc>
          <w:tcPr>
            <w:tcW w:w="135" w:type="dxa"/>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r>
      <w:tr w:rsidR="00641EED" w:rsidRPr="00641EED" w:rsidTr="00641EED">
        <w:trPr>
          <w:trHeight w:val="360"/>
        </w:trPr>
        <w:tc>
          <w:tcPr>
            <w:tcW w:w="585" w:type="dxa"/>
            <w:tcBorders>
              <w:top w:val="nil"/>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栏次</w:t>
            </w:r>
          </w:p>
        </w:tc>
        <w:tc>
          <w:tcPr>
            <w:tcW w:w="420"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960"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1</w:t>
            </w:r>
          </w:p>
        </w:tc>
        <w:tc>
          <w:tcPr>
            <w:tcW w:w="103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2</w:t>
            </w:r>
          </w:p>
        </w:tc>
        <w:tc>
          <w:tcPr>
            <w:tcW w:w="28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3</w:t>
            </w:r>
          </w:p>
        </w:tc>
        <w:tc>
          <w:tcPr>
            <w:tcW w:w="570"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4</w:t>
            </w:r>
          </w:p>
        </w:tc>
        <w:tc>
          <w:tcPr>
            <w:tcW w:w="76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5</w:t>
            </w:r>
          </w:p>
        </w:tc>
        <w:tc>
          <w:tcPr>
            <w:tcW w:w="1260" w:type="dxa"/>
            <w:gridSpan w:val="3"/>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6</w:t>
            </w:r>
          </w:p>
        </w:tc>
        <w:tc>
          <w:tcPr>
            <w:tcW w:w="840" w:type="dxa"/>
            <w:gridSpan w:val="2"/>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7</w:t>
            </w:r>
          </w:p>
        </w:tc>
        <w:tc>
          <w:tcPr>
            <w:tcW w:w="97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8</w:t>
            </w:r>
          </w:p>
        </w:tc>
        <w:tc>
          <w:tcPr>
            <w:tcW w:w="97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9</w:t>
            </w:r>
          </w:p>
        </w:tc>
        <w:tc>
          <w:tcPr>
            <w:tcW w:w="975" w:type="dxa"/>
            <w:gridSpan w:val="2"/>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10</w:t>
            </w:r>
          </w:p>
        </w:tc>
        <w:tc>
          <w:tcPr>
            <w:tcW w:w="975" w:type="dxa"/>
            <w:gridSpan w:val="3"/>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11</w:t>
            </w:r>
          </w:p>
        </w:tc>
        <w:tc>
          <w:tcPr>
            <w:tcW w:w="135" w:type="dxa"/>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r>
      <w:tr w:rsidR="00641EED" w:rsidRPr="00641EED" w:rsidTr="00641EED">
        <w:trPr>
          <w:trHeight w:val="570"/>
        </w:trPr>
        <w:tc>
          <w:tcPr>
            <w:tcW w:w="585" w:type="dxa"/>
            <w:tcBorders>
              <w:top w:val="nil"/>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合计</w:t>
            </w:r>
          </w:p>
        </w:tc>
        <w:tc>
          <w:tcPr>
            <w:tcW w:w="420"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textAlignment w:val="center"/>
              <w:rPr>
                <w:rFonts w:ascii="Arial" w:eastAsia="宋体" w:hAnsi="Arial" w:cs="Arial"/>
                <w:kern w:val="0"/>
                <w:sz w:val="24"/>
                <w:szCs w:val="24"/>
              </w:rPr>
            </w:pPr>
            <w:r w:rsidRPr="00641EED">
              <w:rPr>
                <w:rFonts w:ascii="宋体" w:eastAsia="宋体" w:hAnsi="宋体" w:cs="Arial" w:hint="eastAsia"/>
                <w:color w:val="000000"/>
                <w:kern w:val="0"/>
                <w:sz w:val="20"/>
                <w:szCs w:val="20"/>
              </w:rPr>
              <w:t>1</w:t>
            </w:r>
          </w:p>
        </w:tc>
        <w:tc>
          <w:tcPr>
            <w:tcW w:w="960"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center"/>
              <w:rPr>
                <w:rFonts w:ascii="Arial" w:eastAsia="宋体" w:hAnsi="Arial" w:cs="Arial"/>
                <w:kern w:val="0"/>
                <w:sz w:val="24"/>
                <w:szCs w:val="24"/>
              </w:rPr>
            </w:pPr>
            <w:r w:rsidRPr="00641EED">
              <w:rPr>
                <w:rFonts w:ascii="宋体" w:eastAsia="宋体" w:hAnsi="宋体" w:cs="Arial" w:hint="eastAsia"/>
                <w:color w:val="000000"/>
                <w:kern w:val="0"/>
                <w:sz w:val="20"/>
                <w:szCs w:val="20"/>
              </w:rPr>
              <w:t>110254474.23</w:t>
            </w:r>
          </w:p>
        </w:tc>
        <w:tc>
          <w:tcPr>
            <w:tcW w:w="103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right"/>
              <w:rPr>
                <w:rFonts w:ascii="Arial" w:eastAsia="宋体" w:hAnsi="Arial" w:cs="Arial"/>
                <w:kern w:val="0"/>
                <w:sz w:val="24"/>
                <w:szCs w:val="24"/>
              </w:rPr>
            </w:pPr>
            <w:r w:rsidRPr="00641EED">
              <w:rPr>
                <w:rFonts w:ascii="宋体" w:eastAsia="宋体" w:hAnsi="宋体" w:cs="Arial" w:hint="eastAsia"/>
                <w:color w:val="000000"/>
                <w:kern w:val="0"/>
                <w:sz w:val="20"/>
                <w:szCs w:val="20"/>
              </w:rPr>
              <w:t>5755930.04 </w:t>
            </w:r>
          </w:p>
        </w:tc>
        <w:tc>
          <w:tcPr>
            <w:tcW w:w="28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570"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right"/>
              <w:rPr>
                <w:rFonts w:ascii="Arial" w:eastAsia="宋体" w:hAnsi="Arial" w:cs="Arial"/>
                <w:kern w:val="0"/>
                <w:sz w:val="24"/>
                <w:szCs w:val="24"/>
              </w:rPr>
            </w:pPr>
            <w:r w:rsidRPr="00641EED">
              <w:rPr>
                <w:rFonts w:ascii="宋体" w:eastAsia="宋体" w:hAnsi="宋体" w:cs="Arial" w:hint="eastAsia"/>
                <w:color w:val="000000"/>
                <w:kern w:val="0"/>
                <w:sz w:val="20"/>
                <w:szCs w:val="20"/>
              </w:rPr>
              <w:t>76001144.79 </w:t>
            </w:r>
          </w:p>
        </w:tc>
        <w:tc>
          <w:tcPr>
            <w:tcW w:w="76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right"/>
              <w:rPr>
                <w:rFonts w:ascii="Arial" w:eastAsia="宋体" w:hAnsi="Arial" w:cs="Arial"/>
                <w:kern w:val="0"/>
                <w:sz w:val="24"/>
                <w:szCs w:val="24"/>
              </w:rPr>
            </w:pPr>
            <w:r w:rsidRPr="00641EED">
              <w:rPr>
                <w:rFonts w:ascii="宋体" w:eastAsia="宋体" w:hAnsi="宋体" w:cs="Arial" w:hint="eastAsia"/>
                <w:color w:val="000000"/>
                <w:kern w:val="0"/>
                <w:sz w:val="20"/>
                <w:szCs w:val="20"/>
              </w:rPr>
              <w:t>8301636.87 </w:t>
            </w:r>
          </w:p>
        </w:tc>
        <w:tc>
          <w:tcPr>
            <w:tcW w:w="1260" w:type="dxa"/>
            <w:gridSpan w:val="3"/>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840" w:type="dxa"/>
            <w:gridSpan w:val="2"/>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right"/>
              <w:rPr>
                <w:rFonts w:ascii="Arial" w:eastAsia="宋体" w:hAnsi="Arial" w:cs="Arial"/>
                <w:kern w:val="0"/>
                <w:sz w:val="24"/>
                <w:szCs w:val="24"/>
              </w:rPr>
            </w:pPr>
            <w:r w:rsidRPr="00641EED">
              <w:rPr>
                <w:rFonts w:ascii="宋体" w:eastAsia="宋体" w:hAnsi="宋体" w:cs="Arial" w:hint="eastAsia"/>
                <w:color w:val="000000"/>
                <w:kern w:val="0"/>
                <w:sz w:val="20"/>
                <w:szCs w:val="20"/>
              </w:rPr>
              <w:t>20195762.53 </w:t>
            </w:r>
          </w:p>
        </w:tc>
        <w:tc>
          <w:tcPr>
            <w:tcW w:w="97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975" w:type="dxa"/>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975" w:type="dxa"/>
            <w:gridSpan w:val="2"/>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975" w:type="dxa"/>
            <w:gridSpan w:val="3"/>
            <w:tcBorders>
              <w:top w:val="nil"/>
              <w:left w:val="nil"/>
              <w:bottom w:val="single" w:sz="6" w:space="0" w:color="000000"/>
              <w:right w:val="single" w:sz="6" w:space="0" w:color="000000"/>
            </w:tcBorders>
            <w:shd w:val="clear" w:color="auto" w:fill="auto"/>
            <w:tcMar>
              <w:top w:w="15" w:type="dxa"/>
              <w:left w:w="15" w:type="dxa"/>
              <w:bottom w:w="15" w:type="dxa"/>
              <w:right w:w="15" w:type="dxa"/>
            </w:tcMar>
            <w:vAlign w:val="center"/>
            <w:hideMark/>
          </w:tcPr>
          <w:p w:rsidR="00641EED" w:rsidRPr="00641EED" w:rsidRDefault="00641EED" w:rsidP="00641EED">
            <w:pPr>
              <w:widowControl/>
              <w:jc w:val="left"/>
              <w:rPr>
                <w:rFonts w:ascii="Arial" w:eastAsia="宋体" w:hAnsi="Arial" w:cs="Arial"/>
                <w:kern w:val="0"/>
                <w:sz w:val="24"/>
                <w:szCs w:val="24"/>
              </w:rPr>
            </w:pPr>
          </w:p>
        </w:tc>
        <w:tc>
          <w:tcPr>
            <w:tcW w:w="135" w:type="dxa"/>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r>
      <w:tr w:rsidR="00641EED" w:rsidRPr="00641EED" w:rsidTr="00641EED">
        <w:trPr>
          <w:trHeight w:val="255"/>
        </w:trPr>
        <w:tc>
          <w:tcPr>
            <w:tcW w:w="8670" w:type="dxa"/>
            <w:gridSpan w:val="14"/>
            <w:tcBorders>
              <w:top w:val="nil"/>
              <w:left w:val="nil"/>
              <w:bottom w:val="nil"/>
              <w:right w:val="nil"/>
            </w:tcBorders>
            <w:shd w:val="clear" w:color="auto" w:fill="auto"/>
            <w:tcMar>
              <w:top w:w="15" w:type="dxa"/>
              <w:left w:w="15" w:type="dxa"/>
              <w:bottom w:w="15" w:type="dxa"/>
              <w:right w:w="15" w:type="dxa"/>
            </w:tcMar>
            <w:vAlign w:val="bottom"/>
            <w:hideMark/>
          </w:tcPr>
          <w:p w:rsidR="00641EED" w:rsidRPr="00641EED" w:rsidRDefault="00641EED" w:rsidP="00641EED">
            <w:pPr>
              <w:widowControl/>
              <w:jc w:val="left"/>
              <w:rPr>
                <w:rFonts w:ascii="Arial" w:eastAsia="宋体" w:hAnsi="Arial" w:cs="Arial"/>
                <w:kern w:val="0"/>
                <w:sz w:val="24"/>
                <w:szCs w:val="24"/>
              </w:rPr>
            </w:pPr>
          </w:p>
        </w:tc>
        <w:tc>
          <w:tcPr>
            <w:tcW w:w="360" w:type="dxa"/>
            <w:tcBorders>
              <w:top w:val="nil"/>
              <w:left w:val="nil"/>
              <w:bottom w:val="nil"/>
              <w:right w:val="nil"/>
            </w:tcBorders>
            <w:shd w:val="clear" w:color="auto" w:fill="auto"/>
            <w:tcMar>
              <w:top w:w="15" w:type="dxa"/>
              <w:left w:w="15" w:type="dxa"/>
              <w:bottom w:w="15" w:type="dxa"/>
              <w:right w:w="15" w:type="dxa"/>
            </w:tcMar>
            <w:vAlign w:val="bottom"/>
            <w:hideMark/>
          </w:tcPr>
          <w:p w:rsidR="00641EED" w:rsidRPr="00641EED" w:rsidRDefault="00641EED" w:rsidP="00641EED">
            <w:pPr>
              <w:widowControl/>
              <w:jc w:val="left"/>
              <w:rPr>
                <w:rFonts w:ascii="Arial" w:eastAsia="宋体" w:hAnsi="Arial" w:cs="Arial"/>
                <w:kern w:val="0"/>
                <w:sz w:val="24"/>
                <w:szCs w:val="24"/>
              </w:rPr>
            </w:pPr>
          </w:p>
        </w:tc>
        <w:tc>
          <w:tcPr>
            <w:tcW w:w="975" w:type="dxa"/>
            <w:gridSpan w:val="2"/>
            <w:tcBorders>
              <w:top w:val="nil"/>
              <w:left w:val="nil"/>
              <w:bottom w:val="nil"/>
              <w:right w:val="nil"/>
            </w:tcBorders>
            <w:shd w:val="clear" w:color="auto" w:fill="auto"/>
            <w:tcMar>
              <w:top w:w="15" w:type="dxa"/>
              <w:left w:w="15" w:type="dxa"/>
              <w:bottom w:w="15" w:type="dxa"/>
              <w:right w:w="15" w:type="dxa"/>
            </w:tcMar>
            <w:vAlign w:val="bottom"/>
            <w:hideMark/>
          </w:tcPr>
          <w:p w:rsidR="00641EED" w:rsidRPr="00641EED" w:rsidRDefault="00641EED" w:rsidP="00641EED">
            <w:pPr>
              <w:widowControl/>
              <w:jc w:val="left"/>
              <w:rPr>
                <w:rFonts w:ascii="Arial" w:eastAsia="宋体" w:hAnsi="Arial" w:cs="Arial"/>
                <w:kern w:val="0"/>
                <w:sz w:val="24"/>
                <w:szCs w:val="24"/>
              </w:rPr>
            </w:pPr>
          </w:p>
        </w:tc>
        <w:tc>
          <w:tcPr>
            <w:tcW w:w="135" w:type="dxa"/>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c>
          <w:tcPr>
            <w:tcW w:w="615" w:type="dxa"/>
            <w:gridSpan w:val="2"/>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r>
      <w:tr w:rsidR="00641EED" w:rsidRPr="00641EED" w:rsidTr="00641EED">
        <w:trPr>
          <w:trHeight w:val="495"/>
        </w:trPr>
        <w:tc>
          <w:tcPr>
            <w:tcW w:w="9645" w:type="dxa"/>
            <w:gridSpan w:val="16"/>
            <w:tcBorders>
              <w:top w:val="nil"/>
              <w:left w:val="nil"/>
              <w:bottom w:val="nil"/>
              <w:right w:val="nil"/>
            </w:tcBorders>
            <w:shd w:val="clear" w:color="auto" w:fill="auto"/>
            <w:tcMar>
              <w:top w:w="15" w:type="dxa"/>
              <w:left w:w="15" w:type="dxa"/>
              <w:bottom w:w="15" w:type="dxa"/>
              <w:right w:w="15" w:type="dxa"/>
            </w:tcMar>
            <w:vAlign w:val="bottom"/>
            <w:hideMark/>
          </w:tcPr>
          <w:p w:rsidR="00641EED" w:rsidRPr="00641EED" w:rsidRDefault="00641EED" w:rsidP="00641EED">
            <w:pPr>
              <w:widowControl/>
              <w:jc w:val="left"/>
              <w:rPr>
                <w:rFonts w:ascii="Arial" w:eastAsia="宋体" w:hAnsi="Arial" w:cs="Arial"/>
                <w:kern w:val="0"/>
                <w:sz w:val="24"/>
                <w:szCs w:val="24"/>
              </w:rPr>
            </w:pPr>
            <w:r w:rsidRPr="00641EED">
              <w:rPr>
                <w:rFonts w:ascii="宋体" w:eastAsia="宋体" w:hAnsi="宋体" w:cs="Arial" w:hint="eastAsia"/>
                <w:color w:val="000000"/>
                <w:kern w:val="0"/>
                <w:sz w:val="20"/>
                <w:szCs w:val="20"/>
              </w:rPr>
              <w:t>填报说明：1.资产总额＝流动资产＋固定资产＋对外投资／有价证券＋在建工程＋无形资产＋其他资产</w:t>
            </w:r>
          </w:p>
          <w:p w:rsidR="00641EED" w:rsidRPr="00641EED" w:rsidRDefault="00641EED" w:rsidP="00641EED">
            <w:pPr>
              <w:widowControl/>
              <w:jc w:val="left"/>
              <w:rPr>
                <w:rFonts w:ascii="Arial" w:eastAsia="宋体" w:hAnsi="Arial" w:cs="Arial"/>
                <w:kern w:val="0"/>
                <w:sz w:val="24"/>
                <w:szCs w:val="24"/>
              </w:rPr>
            </w:pPr>
            <w:r w:rsidRPr="00641EED">
              <w:rPr>
                <w:rFonts w:ascii="宋体" w:eastAsia="宋体" w:hAnsi="宋体" w:cs="Arial" w:hint="eastAsia"/>
                <w:color w:val="000000"/>
                <w:kern w:val="0"/>
                <w:sz w:val="20"/>
                <w:szCs w:val="20"/>
              </w:rPr>
              <w:t>2.固定资产＝房屋构筑物＋车辆＋单价200万元以上大型设备＋其他固定资产</w:t>
            </w:r>
          </w:p>
        </w:tc>
        <w:tc>
          <w:tcPr>
            <w:tcW w:w="975" w:type="dxa"/>
            <w:gridSpan w:val="3"/>
            <w:tcBorders>
              <w:top w:val="nil"/>
              <w:left w:val="nil"/>
              <w:bottom w:val="nil"/>
              <w:right w:val="nil"/>
            </w:tcBorders>
            <w:shd w:val="clear" w:color="auto" w:fill="auto"/>
            <w:tcMar>
              <w:top w:w="15" w:type="dxa"/>
              <w:left w:w="15" w:type="dxa"/>
              <w:bottom w:w="15" w:type="dxa"/>
              <w:right w:w="15" w:type="dxa"/>
            </w:tcMar>
            <w:vAlign w:val="bottom"/>
            <w:hideMark/>
          </w:tcPr>
          <w:p w:rsidR="00641EED" w:rsidRPr="00641EED" w:rsidRDefault="00641EED" w:rsidP="00641EED">
            <w:pPr>
              <w:widowControl/>
              <w:jc w:val="left"/>
              <w:rPr>
                <w:rFonts w:ascii="Arial" w:eastAsia="宋体" w:hAnsi="Arial" w:cs="Arial"/>
                <w:kern w:val="0"/>
                <w:sz w:val="24"/>
                <w:szCs w:val="24"/>
              </w:rPr>
            </w:pPr>
          </w:p>
        </w:tc>
        <w:tc>
          <w:tcPr>
            <w:tcW w:w="135" w:type="dxa"/>
            <w:tcBorders>
              <w:top w:val="nil"/>
              <w:left w:val="nil"/>
              <w:bottom w:val="nil"/>
              <w:right w:val="nil"/>
            </w:tcBorders>
            <w:shd w:val="clear" w:color="auto" w:fill="auto"/>
            <w:vAlign w:val="center"/>
            <w:hideMark/>
          </w:tcPr>
          <w:p w:rsidR="00641EED" w:rsidRPr="00641EED" w:rsidRDefault="00641EED" w:rsidP="00641EED">
            <w:pPr>
              <w:widowControl/>
              <w:jc w:val="left"/>
              <w:rPr>
                <w:rFonts w:ascii="Arial" w:eastAsia="宋体" w:hAnsi="Arial" w:cs="Arial"/>
                <w:kern w:val="0"/>
                <w:sz w:val="24"/>
                <w:szCs w:val="24"/>
              </w:rPr>
            </w:pPr>
          </w:p>
        </w:tc>
      </w:tr>
      <w:tr w:rsidR="00641EED" w:rsidRPr="00641EED" w:rsidTr="00641EED">
        <w:tc>
          <w:tcPr>
            <w:tcW w:w="43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34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129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127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25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138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127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4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60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24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87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51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66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66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25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40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24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10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315"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c>
          <w:tcPr>
            <w:tcW w:w="90" w:type="dxa"/>
            <w:tcBorders>
              <w:top w:val="nil"/>
              <w:left w:val="nil"/>
              <w:bottom w:val="nil"/>
              <w:right w:val="nil"/>
            </w:tcBorders>
            <w:shd w:val="clear" w:color="auto" w:fill="auto"/>
            <w:tcMar>
              <w:top w:w="75" w:type="dxa"/>
              <w:left w:w="150" w:type="dxa"/>
              <w:bottom w:w="75" w:type="dxa"/>
              <w:right w:w="150" w:type="dxa"/>
            </w:tcMar>
            <w:vAlign w:val="center"/>
            <w:hideMark/>
          </w:tcPr>
          <w:p w:rsidR="00641EED" w:rsidRPr="00641EED" w:rsidRDefault="00641EED" w:rsidP="00641EED">
            <w:pPr>
              <w:widowControl/>
              <w:jc w:val="left"/>
              <w:rPr>
                <w:rFonts w:ascii="Arial" w:eastAsia="宋体" w:hAnsi="Arial" w:cs="Arial"/>
                <w:kern w:val="0"/>
                <w:sz w:val="1"/>
                <w:szCs w:val="24"/>
              </w:rPr>
            </w:pPr>
          </w:p>
        </w:tc>
      </w:tr>
    </w:tbl>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三、政府采购支出情况</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lastRenderedPageBreak/>
        <w:t>2018年度，部门政府采购支出总额0元，其中：政府采购货物支出0元；政府采购工程支出0元；政府采购服务支出0元。授予中小企业合同金额0元，占政府采购支出总额的0%。</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四、部门绩效自评情况</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部门绩效自评情况详见附表（附表10—附表14）。</w:t>
      </w:r>
    </w:p>
    <w:p w:rsidR="00641EED" w:rsidRDefault="00641EED" w:rsidP="00641EED">
      <w:pPr>
        <w:widowControl/>
        <w:spacing w:before="105" w:after="105" w:line="360" w:lineRule="auto"/>
        <w:ind w:firstLine="600"/>
        <w:jc w:val="left"/>
        <w:rPr>
          <w:rFonts w:ascii="黑体" w:eastAsia="黑体" w:hAnsi="黑体" w:cs="Arial"/>
          <w:kern w:val="0"/>
          <w:sz w:val="30"/>
          <w:szCs w:val="30"/>
        </w:rPr>
      </w:pPr>
      <w:r w:rsidRPr="00641EED">
        <w:rPr>
          <w:rFonts w:ascii="黑体" w:eastAsia="黑体" w:hAnsi="黑体" w:cs="Arial" w:hint="eastAsia"/>
          <w:kern w:val="0"/>
          <w:sz w:val="30"/>
          <w:szCs w:val="30"/>
        </w:rPr>
        <w:t>五、其他重要事项情况说明</w:t>
      </w:r>
    </w:p>
    <w:p w:rsidR="00CA7186" w:rsidRPr="00CA7186" w:rsidRDefault="00CA7186" w:rsidP="00641EED">
      <w:pPr>
        <w:widowControl/>
        <w:spacing w:before="105" w:after="105" w:line="360" w:lineRule="auto"/>
        <w:ind w:firstLine="600"/>
        <w:jc w:val="left"/>
        <w:rPr>
          <w:rFonts w:ascii="仿宋_GB2312" w:eastAsia="仿宋_GB2312" w:hAnsi="Arial" w:cs="Arial"/>
          <w:kern w:val="0"/>
          <w:sz w:val="30"/>
          <w:szCs w:val="30"/>
        </w:rPr>
      </w:pPr>
      <w:r w:rsidRPr="00CA7186">
        <w:rPr>
          <w:rFonts w:ascii="仿宋_GB2312" w:eastAsia="仿宋_GB2312" w:hAnsi="Arial" w:cs="Arial" w:hint="eastAsia"/>
          <w:kern w:val="0"/>
          <w:sz w:val="30"/>
          <w:szCs w:val="30"/>
        </w:rPr>
        <w:t>未有说明。</w:t>
      </w:r>
    </w:p>
    <w:p w:rsidR="00641EED" w:rsidRPr="00641EED" w:rsidRDefault="00641EED" w:rsidP="00641EED">
      <w:pPr>
        <w:widowControl/>
        <w:spacing w:before="105" w:after="105" w:line="360" w:lineRule="auto"/>
        <w:ind w:firstLine="600"/>
        <w:jc w:val="left"/>
        <w:rPr>
          <w:rFonts w:ascii="Arial" w:eastAsia="宋体" w:hAnsi="Arial" w:cs="Arial"/>
          <w:kern w:val="0"/>
          <w:sz w:val="24"/>
          <w:szCs w:val="24"/>
        </w:rPr>
      </w:pPr>
      <w:r w:rsidRPr="00641EED">
        <w:rPr>
          <w:rFonts w:ascii="黑体" w:eastAsia="黑体" w:hAnsi="黑体" w:cs="Arial" w:hint="eastAsia"/>
          <w:kern w:val="0"/>
          <w:sz w:val="30"/>
          <w:szCs w:val="30"/>
        </w:rPr>
        <w:t>六、相关口径说明</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（一）基本支出中人员经费包括工资福利支出和对个人和家庭的补助，日常公用支出包括商品和服务支出、资本性支出等人员经费以外的支出。</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（二）机关运行经费指行政单位和参照公务员法管理的事业单位使用一般公共预算财政拨款安排的基本支出中的日常公用经费支出。</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三）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牌照费等）；公务用车运行维护费，指单位按规定保留的公务用车燃料费、维修费、过桥过路费、</w:t>
      </w:r>
      <w:r w:rsidRPr="00641EED">
        <w:rPr>
          <w:rFonts w:ascii="仿宋_GB2312" w:eastAsia="仿宋_GB2312" w:hAnsi="Arial" w:cs="Arial" w:hint="eastAsia"/>
          <w:kern w:val="0"/>
          <w:sz w:val="30"/>
          <w:szCs w:val="30"/>
        </w:rPr>
        <w:lastRenderedPageBreak/>
        <w:t>保险费、安全奖励费用等支出；公务用车指用于履行公务的机动车辆，包括省部级干部专车、一般公务用车和执法执勤用车；公务接待费，指单位按规定开支的各类公务接待（含外宾接待）费用。</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rsidR="00641EED" w:rsidRPr="00641EED" w:rsidRDefault="00641EED" w:rsidP="00641EED">
      <w:pPr>
        <w:widowControl/>
        <w:spacing w:before="75" w:after="75"/>
        <w:ind w:firstLine="645"/>
        <w:jc w:val="center"/>
        <w:rPr>
          <w:rFonts w:ascii="Arial" w:eastAsia="宋体" w:hAnsi="Arial" w:cs="Arial"/>
          <w:kern w:val="0"/>
          <w:sz w:val="24"/>
          <w:szCs w:val="24"/>
        </w:rPr>
      </w:pPr>
      <w:r w:rsidRPr="00641EED">
        <w:rPr>
          <w:rFonts w:ascii="黑体" w:eastAsia="黑体" w:hAnsi="黑体" w:cs="Arial" w:hint="eastAsia"/>
          <w:kern w:val="0"/>
          <w:sz w:val="32"/>
          <w:szCs w:val="32"/>
        </w:rPr>
        <w:t>第五部分</w:t>
      </w:r>
      <w:r w:rsidRPr="00641EED">
        <w:rPr>
          <w:rFonts w:ascii="宋体" w:eastAsia="宋体" w:hAnsi="宋体" w:cs="宋体" w:hint="eastAsia"/>
          <w:kern w:val="0"/>
          <w:sz w:val="32"/>
          <w:szCs w:val="32"/>
        </w:rPr>
        <w:t> </w:t>
      </w:r>
      <w:r w:rsidRPr="00641EED">
        <w:rPr>
          <w:rFonts w:ascii="黑体" w:eastAsia="黑体" w:hAnsi="黑体" w:cs="黑体" w:hint="eastAsia"/>
          <w:kern w:val="0"/>
          <w:sz w:val="32"/>
          <w:szCs w:val="32"/>
        </w:rPr>
        <w:t xml:space="preserve"> </w:t>
      </w:r>
      <w:r w:rsidRPr="00641EED">
        <w:rPr>
          <w:rFonts w:ascii="黑体" w:eastAsia="黑体" w:hAnsi="黑体" w:cs="Arial" w:hint="eastAsia"/>
          <w:kern w:val="0"/>
          <w:sz w:val="32"/>
          <w:szCs w:val="32"/>
        </w:rPr>
        <w:t>名词解释</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仿宋_GB2312" w:eastAsia="仿宋_GB2312" w:hAnsi="Arial" w:cs="Arial" w:hint="eastAsia"/>
          <w:color w:val="000000"/>
          <w:kern w:val="0"/>
          <w:sz w:val="30"/>
          <w:szCs w:val="30"/>
        </w:rPr>
        <w:t>本部门没有涉及专用名词。</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 </w:t>
      </w:r>
    </w:p>
    <w:p w:rsidR="00641EED" w:rsidRPr="00641EED" w:rsidRDefault="00641EED" w:rsidP="00641EED">
      <w:pPr>
        <w:widowControl/>
        <w:spacing w:before="75" w:after="75"/>
        <w:ind w:firstLine="600"/>
        <w:jc w:val="left"/>
        <w:rPr>
          <w:rFonts w:ascii="Arial" w:eastAsia="宋体" w:hAnsi="Arial" w:cs="Arial"/>
          <w:kern w:val="0"/>
          <w:sz w:val="24"/>
          <w:szCs w:val="24"/>
        </w:rPr>
      </w:pPr>
      <w:r w:rsidRPr="00641EED">
        <w:rPr>
          <w:rFonts w:ascii="仿宋_GB2312" w:eastAsia="仿宋_GB2312" w:hAnsi="Arial" w:cs="Arial" w:hint="eastAsia"/>
          <w:kern w:val="0"/>
          <w:sz w:val="30"/>
          <w:szCs w:val="30"/>
        </w:rPr>
        <w:t> </w:t>
      </w:r>
    </w:p>
    <w:p w:rsidR="00641EED" w:rsidRPr="00641EED" w:rsidRDefault="00641EED" w:rsidP="00641EED">
      <w:pPr>
        <w:widowControl/>
        <w:spacing w:before="75" w:after="75"/>
        <w:ind w:firstLine="5250"/>
        <w:jc w:val="left"/>
        <w:rPr>
          <w:rFonts w:ascii="Arial" w:eastAsia="宋体" w:hAnsi="Arial" w:cs="Arial"/>
          <w:kern w:val="0"/>
          <w:sz w:val="24"/>
          <w:szCs w:val="24"/>
        </w:rPr>
      </w:pPr>
      <w:r w:rsidRPr="00641EED">
        <w:rPr>
          <w:rFonts w:ascii="仿宋_GB2312" w:eastAsia="仿宋_GB2312" w:hAnsi="Arial" w:cs="Arial" w:hint="eastAsia"/>
          <w:kern w:val="0"/>
          <w:sz w:val="30"/>
          <w:szCs w:val="30"/>
        </w:rPr>
        <w:t>新平县公安局</w:t>
      </w:r>
    </w:p>
    <w:p w:rsidR="00641EED" w:rsidRPr="00641EED" w:rsidRDefault="00641EED" w:rsidP="00641EED">
      <w:pPr>
        <w:widowControl/>
        <w:spacing w:before="75" w:after="75"/>
        <w:ind w:firstLine="5100"/>
        <w:jc w:val="left"/>
        <w:rPr>
          <w:rFonts w:ascii="Arial" w:eastAsia="宋体" w:hAnsi="Arial" w:cs="Arial"/>
          <w:kern w:val="0"/>
          <w:sz w:val="24"/>
          <w:szCs w:val="24"/>
        </w:rPr>
      </w:pPr>
      <w:r w:rsidRPr="00641EED">
        <w:rPr>
          <w:rFonts w:ascii="仿宋_GB2312" w:eastAsia="仿宋_GB2312" w:hAnsi="Arial" w:cs="Arial" w:hint="eastAsia"/>
          <w:kern w:val="0"/>
          <w:sz w:val="30"/>
          <w:szCs w:val="30"/>
        </w:rPr>
        <w:t>2019年9月19日</w:t>
      </w:r>
    </w:p>
    <w:p w:rsidR="00641EED" w:rsidRPr="00641EED" w:rsidRDefault="00641EED" w:rsidP="00641EED">
      <w:pPr>
        <w:widowControl/>
        <w:spacing w:before="75" w:after="75"/>
        <w:jc w:val="left"/>
        <w:rPr>
          <w:rFonts w:ascii="Arial" w:eastAsia="宋体" w:hAnsi="Arial" w:cs="Arial"/>
          <w:kern w:val="0"/>
          <w:sz w:val="24"/>
          <w:szCs w:val="24"/>
        </w:rPr>
      </w:pPr>
      <w:r w:rsidRPr="00641EED">
        <w:rPr>
          <w:rFonts w:ascii="Arial" w:eastAsia="宋体" w:hAnsi="Arial" w:cs="Arial"/>
          <w:b/>
          <w:bCs/>
          <w:kern w:val="0"/>
          <w:sz w:val="24"/>
          <w:szCs w:val="24"/>
        </w:rPr>
        <w:t>监督索引号</w:t>
      </w:r>
      <w:r w:rsidRPr="00641EED">
        <w:rPr>
          <w:rFonts w:ascii="Arial" w:eastAsia="宋体" w:hAnsi="Arial" w:cs="Arial"/>
          <w:b/>
          <w:bCs/>
          <w:kern w:val="0"/>
          <w:sz w:val="24"/>
          <w:szCs w:val="24"/>
        </w:rPr>
        <w:t>53042700631201111</w:t>
      </w:r>
    </w:p>
    <w:p w:rsidR="00641EED" w:rsidRPr="00641EED" w:rsidRDefault="00641EED" w:rsidP="00641EED">
      <w:pPr>
        <w:widowControl/>
        <w:spacing w:before="75" w:after="75" w:line="240" w:lineRule="atLeast"/>
        <w:jc w:val="left"/>
        <w:rPr>
          <w:rFonts w:ascii="Arial" w:eastAsia="宋体" w:hAnsi="Arial" w:cs="Arial"/>
          <w:kern w:val="0"/>
          <w:sz w:val="24"/>
          <w:szCs w:val="24"/>
        </w:rPr>
      </w:pPr>
      <w:r>
        <w:rPr>
          <w:rFonts w:ascii="Arial" w:eastAsia="宋体" w:hAnsi="Arial" w:cs="Arial"/>
          <w:noProof/>
          <w:kern w:val="0"/>
          <w:sz w:val="24"/>
          <w:szCs w:val="24"/>
        </w:rPr>
        <w:drawing>
          <wp:inline distT="0" distB="0" distL="0" distR="0">
            <wp:extent cx="152400" cy="152400"/>
            <wp:effectExtent l="19050" t="0" r="0" b="0"/>
            <wp:docPr id="1" name="图片 1" descr="http://59.216.1.39/r/public/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9.216.1.39/r/public/fileTypeImages/icon_txt.gif"/>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ooltip="公安局2018年度部门决算公开表220190923053944627.xlsx" w:history="1">
        <w:r w:rsidRPr="00641EED">
          <w:rPr>
            <w:rFonts w:ascii="Arial" w:eastAsia="宋体" w:hAnsi="Arial" w:cs="Arial"/>
            <w:color w:val="0066CC"/>
            <w:kern w:val="0"/>
            <w:sz w:val="18"/>
            <w:u w:val="single"/>
          </w:rPr>
          <w:t>公安局</w:t>
        </w:r>
        <w:r w:rsidRPr="00641EED">
          <w:rPr>
            <w:rFonts w:ascii="Arial" w:eastAsia="宋体" w:hAnsi="Arial" w:cs="Arial"/>
            <w:color w:val="0066CC"/>
            <w:kern w:val="0"/>
            <w:sz w:val="18"/>
            <w:u w:val="single"/>
          </w:rPr>
          <w:t>2018</w:t>
        </w:r>
        <w:r w:rsidRPr="00641EED">
          <w:rPr>
            <w:rFonts w:ascii="Arial" w:eastAsia="宋体" w:hAnsi="Arial" w:cs="Arial"/>
            <w:color w:val="0066CC"/>
            <w:kern w:val="0"/>
            <w:sz w:val="18"/>
            <w:u w:val="single"/>
          </w:rPr>
          <w:t>年度部门决算公开表</w:t>
        </w:r>
        <w:r w:rsidRPr="00641EED">
          <w:rPr>
            <w:rFonts w:ascii="Arial" w:eastAsia="宋体" w:hAnsi="Arial" w:cs="Arial"/>
            <w:color w:val="0066CC"/>
            <w:kern w:val="0"/>
            <w:sz w:val="18"/>
            <w:u w:val="single"/>
          </w:rPr>
          <w:t>220190923053944627.xlsx</w:t>
        </w:r>
      </w:hyperlink>
    </w:p>
    <w:p w:rsidR="00641EED" w:rsidRPr="00641EED" w:rsidRDefault="00641EED" w:rsidP="00641EED">
      <w:pPr>
        <w:widowControl/>
        <w:spacing w:before="75"/>
        <w:jc w:val="left"/>
        <w:rPr>
          <w:rFonts w:ascii="Arial" w:eastAsia="宋体" w:hAnsi="Arial" w:cs="Arial"/>
          <w:kern w:val="0"/>
          <w:sz w:val="24"/>
          <w:szCs w:val="24"/>
        </w:rPr>
      </w:pPr>
      <w:r w:rsidRPr="00641EED">
        <w:rPr>
          <w:rFonts w:ascii="Arial" w:eastAsia="宋体" w:hAnsi="Arial" w:cs="Arial"/>
          <w:kern w:val="0"/>
          <w:sz w:val="24"/>
          <w:szCs w:val="24"/>
        </w:rPr>
        <w:t> </w:t>
      </w:r>
    </w:p>
    <w:p w:rsidR="008818AE" w:rsidRPr="00641EED" w:rsidRDefault="008818AE"/>
    <w:sectPr w:rsidR="008818AE" w:rsidRPr="00641EED" w:rsidSect="008818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EED" w:rsidRDefault="00641EED" w:rsidP="00641EED">
      <w:r>
        <w:separator/>
      </w:r>
    </w:p>
  </w:endnote>
  <w:endnote w:type="continuationSeparator" w:id="0">
    <w:p w:rsidR="00641EED" w:rsidRDefault="00641EED" w:rsidP="00641E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EED" w:rsidRDefault="00641EED" w:rsidP="00641EED">
      <w:r>
        <w:separator/>
      </w:r>
    </w:p>
  </w:footnote>
  <w:footnote w:type="continuationSeparator" w:id="0">
    <w:p w:rsidR="00641EED" w:rsidRDefault="00641EED" w:rsidP="00641E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1EED"/>
    <w:rsid w:val="0026323A"/>
    <w:rsid w:val="003D3BE3"/>
    <w:rsid w:val="004D31CC"/>
    <w:rsid w:val="00641EED"/>
    <w:rsid w:val="00735839"/>
    <w:rsid w:val="008818AE"/>
    <w:rsid w:val="00CA71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8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1E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1EED"/>
    <w:rPr>
      <w:sz w:val="18"/>
      <w:szCs w:val="18"/>
    </w:rPr>
  </w:style>
  <w:style w:type="paragraph" w:styleId="a4">
    <w:name w:val="footer"/>
    <w:basedOn w:val="a"/>
    <w:link w:val="Char0"/>
    <w:uiPriority w:val="99"/>
    <w:semiHidden/>
    <w:unhideWhenUsed/>
    <w:rsid w:val="00641E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1EED"/>
    <w:rPr>
      <w:sz w:val="18"/>
      <w:szCs w:val="18"/>
    </w:rPr>
  </w:style>
  <w:style w:type="paragraph" w:styleId="a5">
    <w:name w:val="Normal (Web)"/>
    <w:basedOn w:val="a"/>
    <w:uiPriority w:val="99"/>
    <w:semiHidden/>
    <w:unhideWhenUsed/>
    <w:rsid w:val="00641EED"/>
    <w:pPr>
      <w:widowControl/>
      <w:spacing w:before="75" w:after="75"/>
      <w:jc w:val="left"/>
    </w:pPr>
    <w:rPr>
      <w:rFonts w:ascii="宋体" w:eastAsia="宋体" w:hAnsi="宋体" w:cs="宋体"/>
      <w:kern w:val="0"/>
      <w:sz w:val="24"/>
      <w:szCs w:val="24"/>
    </w:rPr>
  </w:style>
  <w:style w:type="character" w:styleId="a6">
    <w:name w:val="Strong"/>
    <w:basedOn w:val="a0"/>
    <w:uiPriority w:val="22"/>
    <w:qFormat/>
    <w:rsid w:val="00641EED"/>
    <w:rPr>
      <w:b/>
      <w:bCs/>
    </w:rPr>
  </w:style>
  <w:style w:type="character" w:styleId="a7">
    <w:name w:val="Hyperlink"/>
    <w:basedOn w:val="a0"/>
    <w:uiPriority w:val="99"/>
    <w:semiHidden/>
    <w:unhideWhenUsed/>
    <w:rsid w:val="00641EED"/>
    <w:rPr>
      <w:color w:val="0000FF"/>
      <w:u w:val="single"/>
    </w:rPr>
  </w:style>
  <w:style w:type="paragraph" w:styleId="a8">
    <w:name w:val="Balloon Text"/>
    <w:basedOn w:val="a"/>
    <w:link w:val="Char1"/>
    <w:uiPriority w:val="99"/>
    <w:semiHidden/>
    <w:unhideWhenUsed/>
    <w:rsid w:val="00641EED"/>
    <w:rPr>
      <w:sz w:val="18"/>
      <w:szCs w:val="18"/>
    </w:rPr>
  </w:style>
  <w:style w:type="character" w:customStyle="1" w:styleId="Char1">
    <w:name w:val="批注框文本 Char"/>
    <w:basedOn w:val="a0"/>
    <w:link w:val="a8"/>
    <w:uiPriority w:val="99"/>
    <w:semiHidden/>
    <w:rsid w:val="00641EED"/>
    <w:rPr>
      <w:sz w:val="18"/>
      <w:szCs w:val="18"/>
    </w:rPr>
  </w:style>
</w:styles>
</file>

<file path=word/webSettings.xml><?xml version="1.0" encoding="utf-8"?>
<w:webSettings xmlns:r="http://schemas.openxmlformats.org/officeDocument/2006/relationships" xmlns:w="http://schemas.openxmlformats.org/wordprocessingml/2006/main">
  <w:divs>
    <w:div w:id="1709259847">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59.216.1.39/r/cms/xpxzfxxgk/201909/24093849m6cz.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934</Words>
  <Characters>5327</Characters>
  <Application>Microsoft Office Word</Application>
  <DocSecurity>0</DocSecurity>
  <Lines>44</Lines>
  <Paragraphs>12</Paragraphs>
  <ScaleCrop>false</ScaleCrop>
  <Company>mycomputer</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新平公安局</dc:creator>
  <cp:lastModifiedBy>admin</cp:lastModifiedBy>
  <cp:revision>2</cp:revision>
  <dcterms:created xsi:type="dcterms:W3CDTF">2019-12-10T01:26:00Z</dcterms:created>
  <dcterms:modified xsi:type="dcterms:W3CDTF">2019-12-10T01:26:00Z</dcterms:modified>
</cp:coreProperties>
</file>