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80"/>
        </w:tabs>
        <w:spacing w:line="640" w:lineRule="exact"/>
        <w:jc w:val="center"/>
        <w:rPr>
          <w:rFonts w:hint="eastAsia" w:ascii="宋体" w:hAnsi="宋体" w:eastAsia="方正小标宋_GBK"/>
          <w:bCs/>
          <w:spacing w:val="-14"/>
          <w:sz w:val="44"/>
          <w:szCs w:val="44"/>
        </w:rPr>
      </w:pPr>
      <w:bookmarkStart w:id="0" w:name="_GoBack"/>
      <w:r>
        <w:rPr>
          <w:rFonts w:hint="eastAsia" w:ascii="宋体" w:hAnsi="宋体" w:eastAsia="方正小标宋_GBK"/>
          <w:bCs/>
          <w:spacing w:val="-14"/>
          <w:sz w:val="44"/>
          <w:szCs w:val="44"/>
        </w:rPr>
        <w:t>《新平县红河水系保护修复攻坚战实施方案》</w:t>
      </w:r>
    </w:p>
    <w:p>
      <w:pPr>
        <w:tabs>
          <w:tab w:val="left" w:pos="5280"/>
        </w:tabs>
        <w:spacing w:line="640" w:lineRule="exact"/>
        <w:jc w:val="center"/>
        <w:rPr>
          <w:rFonts w:hint="eastAsia" w:ascii="宋体" w:hAnsi="宋体" w:eastAsia="方正小标宋_GBK"/>
          <w:bCs/>
          <w:spacing w:val="-14"/>
          <w:sz w:val="44"/>
          <w:szCs w:val="44"/>
          <w:lang w:eastAsia="zh-CN"/>
        </w:rPr>
      </w:pPr>
      <w:r>
        <w:rPr>
          <w:rFonts w:hint="eastAsia" w:ascii="宋体" w:hAnsi="宋体" w:eastAsia="方正小标宋_GBK"/>
          <w:bCs/>
          <w:spacing w:val="-14"/>
          <w:sz w:val="44"/>
          <w:szCs w:val="44"/>
          <w:lang w:eastAsia="zh-CN"/>
        </w:rPr>
        <w:t>政策解读</w:t>
      </w:r>
    </w:p>
    <w:bookmarkEnd w:id="0"/>
    <w:p>
      <w:pPr>
        <w:tabs>
          <w:tab w:val="left" w:pos="5280"/>
        </w:tabs>
        <w:spacing w:line="640" w:lineRule="exact"/>
        <w:jc w:val="center"/>
        <w:rPr>
          <w:rFonts w:hint="eastAsia" w:ascii="宋体" w:hAnsi="宋体" w:eastAsia="方正小标宋_GBK"/>
          <w:bCs/>
          <w:spacing w:val="-14"/>
          <w:sz w:val="44"/>
          <w:szCs w:val="44"/>
          <w:lang w:eastAsia="zh-CN"/>
        </w:rPr>
      </w:pPr>
    </w:p>
    <w:p>
      <w:pPr>
        <w:spacing w:line="520" w:lineRule="exact"/>
        <w:ind w:firstLine="600" w:firstLineChars="200"/>
        <w:outlineLvl w:val="0"/>
        <w:rPr>
          <w:rFonts w:hint="eastAsia" w:ascii="黑体" w:hAnsi="宋体" w:eastAsia="黑体" w:cs="方正黑体_GBK"/>
          <w:bCs/>
          <w:sz w:val="30"/>
          <w:szCs w:val="30"/>
        </w:rPr>
      </w:pPr>
      <w:r>
        <w:rPr>
          <w:rFonts w:hint="eastAsia" w:ascii="黑体" w:hAnsi="宋体" w:eastAsia="黑体" w:cs="方正黑体_GBK"/>
          <w:bCs/>
          <w:sz w:val="30"/>
          <w:szCs w:val="30"/>
        </w:rPr>
        <w:t>一、起草背景及过程</w:t>
      </w:r>
    </w:p>
    <w:p>
      <w:pPr>
        <w:pStyle w:val="4"/>
        <w:spacing w:line="520" w:lineRule="exact"/>
        <w:ind w:firstLine="640"/>
        <w:rPr>
          <w:rFonts w:hint="eastAsia" w:ascii="宋体" w:eastAsia="方正仿宋_GBK" w:cs="仿宋_GB2312"/>
          <w:b w:val="0"/>
          <w:sz w:val="30"/>
          <w:szCs w:val="30"/>
        </w:rPr>
      </w:pPr>
      <w:r>
        <w:rPr>
          <w:rFonts w:hint="eastAsia" w:ascii="宋体" w:eastAsia="方正仿宋_GBK"/>
          <w:b w:val="0"/>
          <w:spacing w:val="6"/>
          <w:sz w:val="30"/>
          <w:szCs w:val="30"/>
        </w:rPr>
        <w:t>为认真贯彻落实《云南省水利厅 云南省生态环境厅 云南省发展改革委关于印发云南省以长江为重点的六大水系保护修复攻坚战实施方案的通知》(云水发〔2019〕34号)、《中共玉溪市委 玉溪市</w:t>
      </w:r>
      <w:r>
        <w:rPr>
          <w:rFonts w:hint="eastAsia" w:ascii="宋体" w:eastAsia="方正仿宋_GBK"/>
          <w:b w:val="0"/>
          <w:sz w:val="30"/>
          <w:szCs w:val="30"/>
        </w:rPr>
        <w:t>人民政府关于全面加强生态环境保护坚决打好污染防治攻坚战的实施意见》（</w:t>
      </w:r>
      <w:r>
        <w:rPr>
          <w:rFonts w:hint="eastAsia" w:ascii="宋体" w:eastAsia="方正仿宋_GBK"/>
          <w:b w:val="0"/>
          <w:spacing w:val="6"/>
          <w:sz w:val="30"/>
          <w:szCs w:val="30"/>
        </w:rPr>
        <w:t>玉发〔2018〕21号</w:t>
      </w:r>
      <w:r>
        <w:rPr>
          <w:rFonts w:hint="eastAsia" w:ascii="宋体" w:eastAsia="方正仿宋_GBK"/>
          <w:b w:val="0"/>
          <w:sz w:val="30"/>
          <w:szCs w:val="30"/>
        </w:rPr>
        <w:t>）、《玉溪市全面推行河长制的实施意见》（玉办通</w:t>
      </w:r>
      <w:r>
        <w:rPr>
          <w:rFonts w:hint="eastAsia" w:ascii="宋体" w:eastAsia="方正仿宋_GBK"/>
          <w:b w:val="0"/>
          <w:spacing w:val="6"/>
          <w:sz w:val="30"/>
          <w:szCs w:val="30"/>
        </w:rPr>
        <w:t>〔2017〕1号</w:t>
      </w:r>
      <w:r>
        <w:rPr>
          <w:rFonts w:hint="eastAsia" w:ascii="宋体" w:eastAsia="方正仿宋_GBK"/>
          <w:b w:val="0"/>
          <w:sz w:val="30"/>
          <w:szCs w:val="30"/>
        </w:rPr>
        <w:t>）和《玉溪市两大水系保护修复攻坚战实施方案》（玉水发〔2019〕17号）精神，进一步加强红河水系保护治理修复工作。深入贯彻习近平生态文明思想和关于长江经济带发展重要讲话精神，以改善红河水系生态环境质量为核心，以落实河（湖）长制为抓手，以干流、主要支流及重点湖库为突破口，统筹山水林田湖草系统治理，坚持污染防治和生态保护“两手发力”，推进水污染治理、水生态修复、水资源保护“三水共治”，突出工业、农业、生活、航运污染“四源齐控”，创新体制机制，强化监督执法，落实各方责任，着力解决突出生态环境问题，确保红河水系生态环境质量持续改善。</w:t>
      </w:r>
    </w:p>
    <w:p>
      <w:pPr>
        <w:pStyle w:val="4"/>
        <w:spacing w:line="520" w:lineRule="exact"/>
        <w:ind w:firstLine="640"/>
        <w:rPr>
          <w:rFonts w:hint="eastAsia" w:ascii="宋体" w:eastAsia="方正仿宋_GBK"/>
          <w:b w:val="0"/>
          <w:sz w:val="30"/>
          <w:szCs w:val="30"/>
        </w:rPr>
      </w:pPr>
      <w:r>
        <w:rPr>
          <w:rFonts w:hint="eastAsia" w:ascii="宋体" w:eastAsia="方正仿宋_GBK" w:cs="仿宋_GB2312"/>
          <w:b w:val="0"/>
          <w:sz w:val="30"/>
          <w:szCs w:val="30"/>
        </w:rPr>
        <w:t>草拟过程：</w:t>
      </w:r>
      <w:r>
        <w:rPr>
          <w:rFonts w:hint="eastAsia" w:ascii="宋体" w:eastAsia="方正仿宋_GBK"/>
          <w:b w:val="0"/>
          <w:sz w:val="30"/>
          <w:szCs w:val="30"/>
        </w:rPr>
        <w:t>文本于2019年5月份开始由新平县水利局负责起草，并结合实际进行分析研究，根据征求到的意见和建议进行了多次修改，经县环境污染防治工作领导小组于2019年10月14日讨论研究，最终形成讨论稿。</w:t>
      </w:r>
    </w:p>
    <w:p>
      <w:pPr>
        <w:spacing w:line="520" w:lineRule="exact"/>
        <w:ind w:firstLine="600" w:firstLineChars="200"/>
        <w:outlineLvl w:val="0"/>
        <w:rPr>
          <w:rFonts w:hint="eastAsia" w:ascii="黑体" w:hAnsi="宋体" w:eastAsia="黑体" w:cs="方正黑体_GBK"/>
          <w:bCs/>
          <w:sz w:val="30"/>
          <w:szCs w:val="30"/>
        </w:rPr>
      </w:pPr>
      <w:r>
        <w:rPr>
          <w:rFonts w:hint="eastAsia" w:ascii="黑体" w:hAnsi="宋体" w:eastAsia="黑体" w:cs="方正黑体_GBK"/>
          <w:bCs/>
          <w:sz w:val="30"/>
          <w:szCs w:val="30"/>
        </w:rPr>
        <w:t>二、主要内容</w:t>
      </w:r>
    </w:p>
    <w:p>
      <w:pPr>
        <w:spacing w:line="520" w:lineRule="exact"/>
        <w:ind w:firstLine="624"/>
        <w:rPr>
          <w:rFonts w:hint="eastAsia" w:ascii="宋体" w:hAnsi="宋体" w:eastAsia="方正仿宋_GBK"/>
          <w:bCs/>
          <w:sz w:val="30"/>
          <w:szCs w:val="30"/>
        </w:rPr>
      </w:pPr>
      <w:r>
        <w:rPr>
          <w:rFonts w:hint="eastAsia" w:ascii="宋体" w:hAnsi="宋体" w:eastAsia="方正仿宋_GBK" w:cs="仿宋_GB2312"/>
          <w:bCs/>
          <w:sz w:val="30"/>
          <w:szCs w:val="30"/>
        </w:rPr>
        <w:t>《</w:t>
      </w:r>
      <w:r>
        <w:rPr>
          <w:rFonts w:hint="eastAsia" w:ascii="宋体" w:hAnsi="宋体" w:eastAsia="方正仿宋_GBK"/>
          <w:bCs/>
          <w:sz w:val="30"/>
          <w:szCs w:val="30"/>
        </w:rPr>
        <w:t>实施方案</w:t>
      </w:r>
      <w:r>
        <w:rPr>
          <w:rFonts w:hint="eastAsia" w:ascii="宋体" w:hAnsi="宋体" w:eastAsia="方正仿宋_GBK" w:cs="仿宋_GB2312"/>
          <w:bCs/>
          <w:sz w:val="30"/>
          <w:szCs w:val="30"/>
        </w:rPr>
        <w:t>》</w:t>
      </w:r>
      <w:r>
        <w:rPr>
          <w:rFonts w:hint="eastAsia" w:ascii="宋体" w:hAnsi="宋体" w:eastAsia="方正仿宋_GBK"/>
          <w:bCs/>
          <w:sz w:val="30"/>
          <w:szCs w:val="30"/>
        </w:rPr>
        <w:t>共分为三部分。</w:t>
      </w:r>
    </w:p>
    <w:p>
      <w:pPr>
        <w:spacing w:line="520" w:lineRule="exact"/>
        <w:ind w:firstLine="600"/>
        <w:rPr>
          <w:rFonts w:hint="eastAsia" w:ascii="宋体" w:hAnsi="宋体" w:eastAsia="方正仿宋_GBK" w:cs="方正楷体_GBK"/>
          <w:b/>
          <w:bCs/>
          <w:sz w:val="30"/>
          <w:szCs w:val="30"/>
        </w:rPr>
      </w:pPr>
      <w:r>
        <w:rPr>
          <w:rFonts w:hint="eastAsia" w:ascii="宋体" w:hAnsi="宋体" w:eastAsia="方正仿宋_GBK" w:cs="方正楷体_GBK"/>
          <w:b/>
          <w:bCs/>
          <w:sz w:val="30"/>
          <w:szCs w:val="30"/>
        </w:rPr>
        <w:t>（一）总体要求</w:t>
      </w:r>
    </w:p>
    <w:p>
      <w:pPr>
        <w:spacing w:line="520" w:lineRule="exact"/>
        <w:ind w:firstLine="600"/>
        <w:rPr>
          <w:rFonts w:hint="eastAsia" w:ascii="宋体" w:hAnsi="宋体" w:eastAsia="方正仿宋_GBK" w:cs="方正楷体_GBK"/>
          <w:bCs/>
          <w:sz w:val="30"/>
          <w:szCs w:val="30"/>
        </w:rPr>
      </w:pPr>
      <w:r>
        <w:rPr>
          <w:rFonts w:hint="eastAsia" w:ascii="宋体" w:hAnsi="宋体" w:eastAsia="方正仿宋_GBK" w:cs="仿宋_GB2312"/>
          <w:b/>
          <w:bCs/>
          <w:sz w:val="30"/>
          <w:szCs w:val="30"/>
        </w:rPr>
        <w:t>1.指导思想。</w:t>
      </w:r>
      <w:r>
        <w:rPr>
          <w:rFonts w:hint="eastAsia" w:ascii="宋体" w:hAnsi="宋体" w:eastAsia="方正仿宋_GBK" w:cs="仿宋_GB2312"/>
          <w:bCs/>
          <w:sz w:val="30"/>
          <w:szCs w:val="30"/>
        </w:rPr>
        <w:t>简要描述《</w:t>
      </w:r>
      <w:r>
        <w:rPr>
          <w:rFonts w:hint="eastAsia" w:ascii="宋体" w:hAnsi="宋体" w:eastAsia="方正仿宋_GBK"/>
          <w:bCs/>
          <w:sz w:val="30"/>
          <w:szCs w:val="30"/>
        </w:rPr>
        <w:t>实施方案</w:t>
      </w:r>
      <w:r>
        <w:rPr>
          <w:rFonts w:hint="eastAsia" w:ascii="宋体" w:hAnsi="宋体" w:eastAsia="方正仿宋_GBK" w:cs="仿宋_GB2312"/>
          <w:bCs/>
          <w:sz w:val="30"/>
          <w:szCs w:val="30"/>
        </w:rPr>
        <w:t>》编制的指导思想。</w:t>
      </w:r>
    </w:p>
    <w:p>
      <w:pPr>
        <w:spacing w:line="520" w:lineRule="exact"/>
        <w:ind w:firstLine="624"/>
        <w:rPr>
          <w:rFonts w:hint="eastAsia" w:ascii="宋体" w:hAnsi="宋体" w:eastAsia="方正仿宋_GBK" w:cs="仿宋_GB2312"/>
          <w:bCs/>
          <w:sz w:val="30"/>
          <w:szCs w:val="30"/>
        </w:rPr>
      </w:pPr>
      <w:r>
        <w:rPr>
          <w:rFonts w:hint="eastAsia" w:ascii="宋体" w:hAnsi="宋体" w:eastAsia="方正仿宋_GBK" w:cs="方正楷体_GBK"/>
          <w:b/>
          <w:bCs/>
          <w:sz w:val="30"/>
          <w:szCs w:val="30"/>
        </w:rPr>
        <w:t>2.基本原则。</w:t>
      </w:r>
      <w:r>
        <w:rPr>
          <w:rFonts w:hint="eastAsia" w:ascii="宋体" w:hAnsi="宋体" w:eastAsia="方正仿宋_GBK" w:cs="仿宋_GB2312"/>
          <w:bCs/>
          <w:sz w:val="30"/>
          <w:szCs w:val="30"/>
        </w:rPr>
        <w:t>一是</w:t>
      </w:r>
      <w:r>
        <w:rPr>
          <w:rFonts w:hint="eastAsia" w:ascii="宋体" w:hAnsi="宋体" w:eastAsia="方正仿宋_GBK"/>
          <w:sz w:val="30"/>
          <w:szCs w:val="30"/>
        </w:rPr>
        <w:t>生态优先，统筹兼顾</w:t>
      </w:r>
      <w:r>
        <w:rPr>
          <w:rFonts w:hint="eastAsia" w:ascii="宋体" w:hAnsi="宋体" w:eastAsia="方正仿宋_GBK" w:cs="仿宋_GB2312"/>
          <w:bCs/>
          <w:color w:val="000000"/>
          <w:sz w:val="30"/>
          <w:szCs w:val="30"/>
        </w:rPr>
        <w:t>；</w:t>
      </w:r>
      <w:r>
        <w:rPr>
          <w:rFonts w:hint="eastAsia" w:ascii="宋体" w:hAnsi="宋体" w:eastAsia="方正仿宋_GBK" w:cs="仿宋_GB2312"/>
          <w:bCs/>
          <w:sz w:val="30"/>
          <w:szCs w:val="30"/>
        </w:rPr>
        <w:t>二是</w:t>
      </w:r>
      <w:r>
        <w:rPr>
          <w:rFonts w:hint="eastAsia" w:ascii="宋体" w:hAnsi="宋体" w:eastAsia="方正仿宋_GBK"/>
          <w:sz w:val="30"/>
          <w:szCs w:val="30"/>
        </w:rPr>
        <w:t>空间管控、严守红线</w:t>
      </w:r>
      <w:r>
        <w:rPr>
          <w:rFonts w:hint="eastAsia" w:ascii="宋体" w:hAnsi="宋体" w:eastAsia="方正仿宋_GBK" w:cs="仿宋_GB2312"/>
          <w:bCs/>
          <w:sz w:val="30"/>
          <w:szCs w:val="30"/>
        </w:rPr>
        <w:t>；三是</w:t>
      </w:r>
      <w:r>
        <w:rPr>
          <w:rFonts w:hint="eastAsia" w:ascii="宋体" w:hAnsi="宋体" w:eastAsia="方正仿宋_GBK"/>
          <w:sz w:val="30"/>
          <w:szCs w:val="30"/>
        </w:rPr>
        <w:t>一河一策，精准治理</w:t>
      </w:r>
      <w:r>
        <w:rPr>
          <w:rFonts w:hint="eastAsia" w:ascii="宋体" w:hAnsi="宋体" w:eastAsia="方正仿宋_GBK" w:cs="仿宋_GB2312"/>
          <w:bCs/>
          <w:sz w:val="30"/>
          <w:szCs w:val="30"/>
        </w:rPr>
        <w:t>；四是</w:t>
      </w:r>
      <w:r>
        <w:rPr>
          <w:rFonts w:hint="eastAsia" w:ascii="宋体" w:hAnsi="宋体" w:eastAsia="方正仿宋_GBK"/>
          <w:sz w:val="30"/>
          <w:szCs w:val="30"/>
        </w:rPr>
        <w:t>强化责任，齐抓共管。</w:t>
      </w:r>
    </w:p>
    <w:p>
      <w:pPr>
        <w:spacing w:line="520" w:lineRule="exact"/>
        <w:ind w:firstLine="600"/>
        <w:rPr>
          <w:rFonts w:hint="eastAsia" w:ascii="宋体" w:hAnsi="宋体" w:eastAsia="方正仿宋_GBK"/>
          <w:sz w:val="30"/>
          <w:szCs w:val="30"/>
        </w:rPr>
      </w:pPr>
      <w:r>
        <w:rPr>
          <w:rFonts w:hint="eastAsia" w:ascii="宋体" w:hAnsi="宋体" w:eastAsia="方正仿宋_GBK" w:cs="方正楷体_GBK"/>
          <w:b/>
          <w:bCs/>
          <w:sz w:val="30"/>
          <w:szCs w:val="30"/>
        </w:rPr>
        <w:t>3.工作目标。</w:t>
      </w:r>
      <w:r>
        <w:rPr>
          <w:rFonts w:hint="eastAsia" w:ascii="宋体" w:hAnsi="宋体" w:eastAsia="方正仿宋_GBK"/>
          <w:sz w:val="30"/>
          <w:szCs w:val="30"/>
        </w:rPr>
        <w:t>到2020年底，</w:t>
      </w:r>
      <w:r>
        <w:rPr>
          <w:rFonts w:hint="eastAsia" w:ascii="宋体" w:hAnsi="宋体" w:eastAsia="方正仿宋_GBK"/>
          <w:color w:val="000000"/>
          <w:sz w:val="30"/>
          <w:szCs w:val="30"/>
        </w:rPr>
        <w:t>纳入国家考核的地表水水质优良（达到或优于Ⅲ类）</w:t>
      </w:r>
      <w:r>
        <w:rPr>
          <w:rFonts w:hint="eastAsia" w:ascii="宋体" w:hAnsi="宋体" w:eastAsia="方正仿宋_GBK"/>
          <w:sz w:val="30"/>
          <w:szCs w:val="30"/>
        </w:rPr>
        <w:t>比例符合要求，流域水质优良比例保持100%。</w:t>
      </w:r>
    </w:p>
    <w:p>
      <w:pPr>
        <w:spacing w:line="520" w:lineRule="exact"/>
        <w:ind w:firstLine="602" w:firstLineChars="200"/>
        <w:rPr>
          <w:rFonts w:hint="eastAsia" w:ascii="宋体" w:hAnsi="宋体" w:eastAsia="方正仿宋_GBK" w:cs="仿宋_GB2312"/>
          <w:bCs/>
          <w:sz w:val="30"/>
          <w:szCs w:val="30"/>
        </w:rPr>
      </w:pPr>
      <w:r>
        <w:rPr>
          <w:rFonts w:hint="eastAsia" w:ascii="宋体" w:hAnsi="宋体" w:eastAsia="方正仿宋_GBK" w:cs="方正楷体_GBK"/>
          <w:b/>
          <w:bCs/>
          <w:sz w:val="30"/>
          <w:szCs w:val="30"/>
        </w:rPr>
        <w:t>（二）主要任务。</w:t>
      </w:r>
      <w:r>
        <w:rPr>
          <w:rFonts w:hint="eastAsia" w:ascii="宋体" w:hAnsi="宋体" w:eastAsia="方正仿宋_GBK" w:cs="仿宋_GB2312"/>
          <w:bCs/>
          <w:sz w:val="30"/>
          <w:szCs w:val="30"/>
        </w:rPr>
        <w:t>分为六个部分。1.</w:t>
      </w:r>
      <w:r>
        <w:rPr>
          <w:rFonts w:hint="eastAsia" w:ascii="宋体" w:hAnsi="宋体" w:eastAsia="方正仿宋_GBK"/>
          <w:sz w:val="30"/>
          <w:szCs w:val="30"/>
        </w:rPr>
        <w:t>强化生态环境空间管控，全力保障水环境安全；2.深化重点流域污染防治，稳定提升水系水质；3.实施最严格水资源管理制度，科学保护水资源；</w:t>
      </w:r>
      <w:r>
        <w:rPr>
          <w:rFonts w:hint="eastAsia" w:ascii="宋体" w:hAnsi="宋体" w:eastAsia="方正仿宋_GBK"/>
          <w:kern w:val="0"/>
          <w:sz w:val="30"/>
          <w:szCs w:val="30"/>
        </w:rPr>
        <w:t>4.</w:t>
      </w:r>
      <w:r>
        <w:rPr>
          <w:rFonts w:hint="eastAsia" w:ascii="宋体" w:hAnsi="宋体" w:eastAsia="方正仿宋_GBK"/>
          <w:sz w:val="30"/>
          <w:szCs w:val="30"/>
        </w:rPr>
        <w:t xml:space="preserve">切实加强水环境管理，全面防控风险；5.多管齐下，推动流域水生态修复；6.加强流域生态监测能力建设，完善水环境质量监测预警体系。 </w:t>
      </w:r>
    </w:p>
    <w:p>
      <w:pPr>
        <w:spacing w:line="520" w:lineRule="exact"/>
        <w:ind w:firstLine="600"/>
        <w:rPr>
          <w:rFonts w:hint="eastAsia" w:ascii="宋体" w:hAnsi="宋体" w:eastAsia="方正仿宋_GBK" w:cs="仿宋_GB2312"/>
          <w:bCs/>
          <w:sz w:val="30"/>
          <w:szCs w:val="30"/>
        </w:rPr>
      </w:pPr>
      <w:r>
        <w:rPr>
          <w:rFonts w:hint="eastAsia" w:ascii="宋体" w:hAnsi="宋体" w:eastAsia="方正仿宋_GBK"/>
          <w:b/>
          <w:sz w:val="30"/>
          <w:szCs w:val="30"/>
        </w:rPr>
        <w:t>（三）保障措施。</w:t>
      </w:r>
      <w:r>
        <w:rPr>
          <w:rFonts w:hint="eastAsia" w:ascii="宋体" w:hAnsi="宋体" w:eastAsia="方正仿宋_GBK"/>
          <w:sz w:val="30"/>
          <w:szCs w:val="30"/>
        </w:rPr>
        <w:t>1.加强党的领导；2.完善政策法规标准；3.健全投资与补偿机制拓宽投融资渠道；4.强化科技支撑；5严格生态环境监督执法；6.促进公众参与。</w:t>
      </w:r>
    </w:p>
    <w:p>
      <w:pPr>
        <w:tabs>
          <w:tab w:val="left" w:pos="5280"/>
        </w:tabs>
        <w:spacing w:line="640" w:lineRule="exact"/>
        <w:jc w:val="both"/>
        <w:rPr>
          <w:rFonts w:hint="eastAsia" w:ascii="宋体" w:hAnsi="宋体" w:eastAsia="方正小标宋_GBK"/>
          <w:bCs/>
          <w:spacing w:val="-14"/>
          <w:sz w:val="44"/>
          <w:szCs w:val="44"/>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Dutch801 Rm BT">
    <w:altName w:val="Segoe Print"/>
    <w:panose1 w:val="02020603060505020304"/>
    <w:charset w:val="00"/>
    <w:family w:val="roman"/>
    <w:pitch w:val="default"/>
    <w:sig w:usb0="00000000" w:usb1="00000000" w:usb2="00000000" w:usb3="00000000" w:csb0="0000001B"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54190"/>
    <w:rsid w:val="107541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uiPriority w:val="0"/>
    <w:pPr>
      <w:spacing w:line="560" w:lineRule="exact"/>
      <w:ind w:firstLine="660"/>
    </w:pPr>
    <w:rPr>
      <w:rFonts w:ascii="仿宋_GB2312" w:hAnsi="宋体"/>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2019-12-30T14:51:00Z</dcterms:created>
  <dc:creator>李紫珺</dc:creator>
  <cp:lastModifiedBy>李紫珺</cp:lastModifiedBy>
  <dcterms:modified xsi:type="dcterms:W3CDTF">2019-12-30T14:52:57Z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