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新平县教育体育局2019年政府信息公开工作年度报告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本报告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《中华人民共和国政府信息公开条例》（以下简称《条例》）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进行编制。其内容由总体情况、主动公开政府信息情况、收到和处理政府信息公开申请情况、政府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信息公开行政复议政诉讼情况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存在的主要问题及改进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情况、其他需要报告的情况等内容组成。本报告数据统计时间起止：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。本单位地址：新平县桂山街道河滨路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号（邮编：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653499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本单位联系电话：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7011804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教育系统基本情况。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201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color w:val="auto"/>
          <w:sz w:val="32"/>
          <w:szCs w:val="32"/>
        </w:rPr>
        <w:t>年，全县有完全小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学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67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所，初级中学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 xml:space="preserve">所，普通高中 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所，职业高级中学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所，教师进修学校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所，青少年校外活动中心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 xml:space="preserve"> 1 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所，幼儿园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 xml:space="preserve">85 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所（含民办幼儿园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48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所）。全县在编教职工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人，</w:t>
      </w:r>
      <w:r>
        <w:rPr>
          <w:rFonts w:hint="eastAsia" w:ascii="方正仿宋_GBK" w:eastAsia="方正仿宋_GBK"/>
          <w:color w:val="auto"/>
          <w:sz w:val="32"/>
          <w:szCs w:val="32"/>
        </w:rPr>
        <w:t>其中幼儿园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156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人，小学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1446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人，初中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916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人，高中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276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人，职中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人，教师进修学校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7人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；专任教师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51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人，</w:t>
      </w:r>
      <w:r>
        <w:rPr>
          <w:rFonts w:hint="eastAsia" w:ascii="方正仿宋_GBK" w:eastAsia="方正仿宋_GBK" w:cs="Times New Roman"/>
          <w:color w:val="auto"/>
          <w:sz w:val="32"/>
          <w:szCs w:val="32"/>
          <w:lang w:eastAsia="zh-CN"/>
        </w:rPr>
        <w:t>各级各类学校</w:t>
      </w:r>
      <w:r>
        <w:rPr>
          <w:rFonts w:hint="eastAsia" w:ascii="方正仿宋_GBK" w:eastAsia="方正仿宋_GBK"/>
          <w:color w:val="auto"/>
          <w:sz w:val="32"/>
          <w:szCs w:val="32"/>
        </w:rPr>
        <w:t>政府购买服务人员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640</w:t>
      </w:r>
      <w:r>
        <w:rPr>
          <w:rFonts w:hint="eastAsia" w:ascii="方正仿宋_GBK" w:eastAsia="方正仿宋_GBK"/>
          <w:color w:val="auto"/>
          <w:sz w:val="32"/>
          <w:szCs w:val="32"/>
        </w:rPr>
        <w:t>人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。幼儿园在园幼儿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256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个班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6884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人；小学阶段在校生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567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个班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17478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人；初中阶段在校</w:t>
      </w:r>
      <w:r>
        <w:rPr>
          <w:rFonts w:hint="eastAsia" w:ascii="方正仿宋_GBK" w:eastAsia="方正仿宋_GBK" w:cs="Times New Roman"/>
          <w:color w:val="auto"/>
          <w:sz w:val="32"/>
          <w:szCs w:val="32"/>
          <w:lang w:eastAsia="zh-CN"/>
        </w:rPr>
        <w:t>学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个班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9193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人；普通高中在校学生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72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个班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3549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人；职业高中在校学生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27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个班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1117</w:t>
      </w:r>
      <w:r>
        <w:rPr>
          <w:rFonts w:hint="eastAsia" w:ascii="方正仿宋_GBK" w:eastAsia="方正仿宋_GBK" w:cs="Times New Roman"/>
          <w:color w:val="auto"/>
          <w:sz w:val="32"/>
          <w:szCs w:val="32"/>
        </w:rPr>
        <w:t>人。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eastAsia="zh-CN"/>
        </w:rPr>
        <w:t>信息公开制度建设情况。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年，新平县教育体育局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严格按照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新平县教育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体育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局文件公开属性审查制度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》《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新平县教育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体育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局政务公开政策文件解读制度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》《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新平县教育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体育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局政务公开实施办法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》《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新平县教育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体育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局政府信息发布保密审查制度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》《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新平县教育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体育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局政务信息公开责任追究制度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》等相关制度办法，确保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政府信息与政务公开工作顺利进行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（三）工作组织、机构、人员情况。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新平县教育体育局局于年初成立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政府信息与政务公开工作领导小组，明确政府信息与政务公开工作分管领导与具体工作人员，投入经费，完善设备，组织培训，通过有效的工作机制，有序开展政府信息与政务公开工作。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（四）信息公开渠道数量等情况。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局机关各股室和各学校（园）每星期向教育体育局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办公室报送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条教育信息，教育体育局办公室通过认真筛选、修改、校对、审核，每星期向县信息股、市教育局等上级单位和部门报送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条教育体育信息。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 w:firstLineChars="196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）主动公开政府信息的形式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年，新平县教育体育局信息公开的主要形式有：新平县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信息公开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玉溪市政府信息公开网站（玉溪教育板块）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新平之窗、大美新平等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渠道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tabs>
          <w:tab w:val="left" w:pos="7560"/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）主动公开政府信息的主要类别及数量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年，全县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</w:rPr>
        <w:t>各学校（园）、教育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lang w:eastAsia="zh-CN"/>
        </w:rPr>
        <w:t>体育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</w:rPr>
        <w:t>局机关各股室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信息公开工作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紧紧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围绕稳增长、促改革、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调结构、惠民生和防风险工作，坚持创新发展理念，全面推进决策、执行、管理、服务、结果公开的“五公开”工作，加强协作配合，形成工作合力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认真政务公开工作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年，新平县教育体育局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教育信息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条，分类涵盖了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教育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机构职能类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、教育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政策与规范性文件类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规划计划类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建设项目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类、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教育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扶贫类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环保能源类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学校安全类、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应急管理类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以及各种会议、各种活动等。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4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本年新制作数量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本年新公开数量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规范性文件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本年增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行政许可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其他对外管理服务事项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本年增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行政事业性收费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政府集中采购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240.93（万元）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0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22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结果维持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（一）工作中存在的主要问题和困难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年，新平县教育体育局严格按照上级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政府信息与政务公开工作的相关要求开展工作，圆满完成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政府信息与政务公开工作。在取得一定成绩的同时，但也还存在不足之处。不足之处主要有：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.全县教育系统有少数学校（园）对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政府信息与政务公开工作认识不到位，对教体局要求每周上报一定数量的教育信息还有一定的差距；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所发布信息覆盖教育体育工作的面还不够广；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少数信息发布的时效性还不够及时；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网络信息发布的信息质量有待进一步提升。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（二）具体解决办法和改进措施。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针对以上存在问题，下一步，新平县教体局将继续加强对政府信息与政务公开工作的组织与领导，进一步强化领导意识、责任意识，持之以恒抓好政府信息与政务公开工作。具体解决办法：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.加强队伍建设。组织教育系统各学校（园）信息员开展教育信息撰写、报送等相关要求的工作培训，加强对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政府信息与政务公开工作的认识，提高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教育信息撰写、报送工作能力；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.要求机关各股室、全县各学校（园）将信息报送的覆盖面进一步扩大；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.今后要全面加强信息报送的及时性和实效性，及时把握教育体育工作的情况，及宣传育体育工作情况；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.严格落实网络信息发布法规要求，全面提高信息撰稿的水平，不断提高网络信息发布的质量。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40" w:firstLineChars="1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新平县教育体育局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440" w:firstLineChars="17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24C12"/>
    <w:multiLevelType w:val="singleLevel"/>
    <w:tmpl w:val="72524C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20C555A"/>
    <w:rsid w:val="04373C70"/>
    <w:rsid w:val="257F7CDD"/>
    <w:rsid w:val="2B1234FD"/>
    <w:rsid w:val="388D78C9"/>
    <w:rsid w:val="44581F43"/>
    <w:rsid w:val="488F53CB"/>
    <w:rsid w:val="50401572"/>
    <w:rsid w:val="5275441B"/>
    <w:rsid w:val="5FD9263A"/>
    <w:rsid w:val="60AC584C"/>
    <w:rsid w:val="62B95919"/>
    <w:rsid w:val="6A1C46E7"/>
    <w:rsid w:val="720B18D2"/>
    <w:rsid w:val="742D5B36"/>
    <w:rsid w:val="7EE3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Administrator</cp:lastModifiedBy>
  <dcterms:modified xsi:type="dcterms:W3CDTF">2020-02-28T08:19:43Z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