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47" w:rsidRDefault="00300C47" w:rsidP="00300C47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财政部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 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税务总局关于明确生活性服务业增值税</w:t>
      </w:r>
    </w:p>
    <w:p w:rsidR="00300C47" w:rsidRDefault="00300C47" w:rsidP="00300C47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加计抵减政策的公告</w:t>
      </w:r>
    </w:p>
    <w:p w:rsidR="00300C47" w:rsidRDefault="00300C47" w:rsidP="00300C47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财政部</w:t>
      </w: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税务总局公告2019年第87号</w:t>
      </w:r>
    </w:p>
    <w:p w:rsidR="00300C47" w:rsidRDefault="00300C47" w:rsidP="00300C47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 xml:space="preserve">　</w:t>
      </w: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  </w:t>
      </w: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现就生活性服务业增值税加计抵减有关政策公告如下：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 xml:space="preserve">　　一、2019年10月1日至2021年12月31日，允许生活性服务业纳税人按照当期可抵扣进项税额加计15%，抵减应纳税额（以下称加计抵减15%政策）。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 xml:space="preserve">　　二、本公告所称生活性服务业纳税人，是指提供生活服务取得的销售额占全部销售额的比重超过50%的纳税人。生活服务的具体范围按照《销售服务、无形资产、不动产注释》（财税〔2016〕36号印发）执行。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 xml:space="preserve">　　2019年9月30日前设立的纳税人，自2018年10月至2019年9月期间的销售额（经营期不满12个月的，按照实际经营期的销售额）符合上述规定条件的，自2019年10月1日起适用加计抵减15%政策。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 xml:space="preserve">　　2019年10月1日后设立的纳税人，自设立之日起3个月的销售额符合上述规定条件的，自登记为一般纳税人之日起适用加计抵减15%政策。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 xml:space="preserve">　　纳税人确定适用加计抵减15%政策后，当年内不再调整，以后年度是否适用，根据上年度销售额计算确定。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lastRenderedPageBreak/>
        <w:t xml:space="preserve">　　三、生活性服务业纳税人应按照当期可抵扣进项税额的15%计提当期加计抵减额。按照现行规定不得从销项税额中抵扣的进项税额，不得计提加计抵减额；已按照15%计提加计抵减额的进项税额，按规定作进项税额转出的，应在进项税额转出当期，相应调减加计抵减额。计算公式如下：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 xml:space="preserve">　　当期计提加计抵减额=当期可抵扣进项税额×15%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 xml:space="preserve">　　当期可抵减加计抵减额=上期末加计抵减额余额+当期计提加计抵减额-当期调减加计抵减额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 xml:space="preserve">　　四、纳税人适用加计抵减政策的其他有关事项，按照《关于深化增值税改革有关政策的公告》（财政部</w:t>
      </w: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税务总局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海关总署公告2019年第39号）等有关规定执行。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 xml:space="preserve">　　特此公告。</w:t>
      </w: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 </w:t>
      </w:r>
    </w:p>
    <w:p w:rsidR="00300C47" w:rsidRDefault="00300C47" w:rsidP="00300C47">
      <w:pPr>
        <w:pStyle w:val="a3"/>
        <w:shd w:val="clear" w:color="auto" w:fill="FFFFFF"/>
        <w:spacing w:line="463" w:lineRule="atLeast"/>
        <w:jc w:val="righ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财政部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税务总局</w:t>
      </w:r>
    </w:p>
    <w:p w:rsidR="00300C47" w:rsidRDefault="00300C47" w:rsidP="00300C47">
      <w:pPr>
        <w:pStyle w:val="a3"/>
        <w:shd w:val="clear" w:color="auto" w:fill="FFFFFF"/>
        <w:spacing w:line="463" w:lineRule="atLeast"/>
        <w:jc w:val="righ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25"/>
          <w:szCs w:val="25"/>
          <w:shd w:val="clear" w:color="auto" w:fill="FFFFFF"/>
        </w:rPr>
        <w:t>2019年9月30日</w:t>
      </w:r>
    </w:p>
    <w:p w:rsidR="00835C88" w:rsidRDefault="00835C88">
      <w:pPr>
        <w:rPr>
          <w:rFonts w:hint="eastAsia"/>
        </w:rPr>
      </w:pPr>
    </w:p>
    <w:sectPr w:rsidR="00835C88" w:rsidSect="00835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C47"/>
    <w:rsid w:val="00300C47"/>
    <w:rsid w:val="0083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蔡忠德</dc:creator>
  <cp:lastModifiedBy>蔡忠德</cp:lastModifiedBy>
  <cp:revision>1</cp:revision>
  <dcterms:created xsi:type="dcterms:W3CDTF">2019-12-16T03:09:00Z</dcterms:created>
  <dcterms:modified xsi:type="dcterms:W3CDTF">2019-12-16T03:10:00Z</dcterms:modified>
</cp:coreProperties>
</file>