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F8C77">
      <w:pPr>
        <w:keepNext w:val="0"/>
        <w:keepLines w:val="0"/>
        <w:pageBreakBefore w:val="0"/>
        <w:widowControl/>
        <w:kinsoku w:val="0"/>
        <w:wordWrap/>
        <w:overflowPunct/>
        <w:topLinePunct w:val="0"/>
        <w:autoSpaceDE w:val="0"/>
        <w:autoSpaceDN w:val="0"/>
        <w:bidi w:val="0"/>
        <w:adjustRightInd w:val="0"/>
        <w:snapToGrid w:val="0"/>
        <w:spacing w:before="140" w:line="317" w:lineRule="auto"/>
        <w:jc w:val="center"/>
        <w:textAlignment w:val="baseline"/>
        <w:rPr>
          <w:rFonts w:hint="eastAsia" w:ascii="方正小标宋简体" w:hAnsi="方正小标宋简体" w:eastAsia="方正小标宋简体" w:cs="方正小标宋简体"/>
          <w:b w:val="0"/>
          <w:bCs w:val="0"/>
          <w:spacing w:val="23"/>
          <w:position w:val="3"/>
          <w:sz w:val="44"/>
          <w:szCs w:val="44"/>
        </w:rPr>
      </w:pPr>
      <w:r>
        <w:rPr>
          <w:rFonts w:hint="eastAsia" w:ascii="方正小标宋简体" w:hAnsi="方正小标宋简体" w:eastAsia="方正小标宋简体" w:cs="方正小标宋简体"/>
          <w:b w:val="0"/>
          <w:bCs w:val="0"/>
          <w:spacing w:val="23"/>
          <w:position w:val="3"/>
          <w:sz w:val="44"/>
          <w:szCs w:val="44"/>
        </w:rPr>
        <w:t>云南省</w:t>
      </w:r>
      <w:r>
        <w:rPr>
          <w:rFonts w:hint="eastAsia" w:ascii="方正小标宋简体" w:hAnsi="方正小标宋简体" w:eastAsia="方正小标宋简体" w:cs="方正小标宋简体"/>
          <w:b w:val="0"/>
          <w:bCs w:val="0"/>
          <w:spacing w:val="23"/>
          <w:position w:val="3"/>
          <w:sz w:val="44"/>
          <w:szCs w:val="44"/>
          <w:lang w:val="en-US" w:eastAsia="zh-Hans"/>
        </w:rPr>
        <w:t>新平彝族傣族自治</w:t>
      </w:r>
      <w:r>
        <w:rPr>
          <w:rFonts w:hint="eastAsia" w:ascii="方正小标宋简体" w:hAnsi="方正小标宋简体" w:eastAsia="方正小标宋简体" w:cs="方正小标宋简体"/>
          <w:b w:val="0"/>
          <w:bCs w:val="0"/>
          <w:spacing w:val="23"/>
          <w:position w:val="3"/>
          <w:sz w:val="44"/>
          <w:szCs w:val="44"/>
        </w:rPr>
        <w:t>县烟草制品</w:t>
      </w:r>
    </w:p>
    <w:p w14:paraId="4966DF24">
      <w:pPr>
        <w:snapToGrid w:val="0"/>
        <w:spacing w:line="317" w:lineRule="auto"/>
        <w:jc w:val="center"/>
        <w:rPr>
          <w:rFonts w:hint="eastAsia" w:ascii="宋体" w:hAnsi="宋体" w:eastAsia="方正小标宋简体" w:cs="宋体"/>
          <w:sz w:val="43"/>
          <w:szCs w:val="43"/>
          <w:lang w:eastAsia="zh-CN"/>
        </w:rPr>
      </w:pPr>
      <w:r>
        <w:rPr>
          <w:rFonts w:hint="eastAsia" w:ascii="方正小标宋简体" w:hAnsi="方正小标宋简体" w:eastAsia="方正小标宋简体" w:cs="方正小标宋简体"/>
          <w:b w:val="0"/>
          <w:bCs w:val="0"/>
          <w:spacing w:val="23"/>
          <w:position w:val="3"/>
          <w:sz w:val="44"/>
          <w:szCs w:val="44"/>
        </w:rPr>
        <w:t>零售点</w:t>
      </w:r>
      <w:r>
        <w:rPr>
          <w:rFonts w:hint="eastAsia" w:ascii="方正小标宋简体" w:hAnsi="方正小标宋简体" w:eastAsia="方正小标宋简体" w:cs="方正小标宋简体"/>
          <w:b w:val="0"/>
          <w:bCs w:val="0"/>
          <w:spacing w:val="6"/>
          <w:position w:val="3"/>
          <w:sz w:val="44"/>
          <w:szCs w:val="44"/>
        </w:rPr>
        <w:t>合理布局规划</w:t>
      </w:r>
      <w:r>
        <w:rPr>
          <w:rFonts w:eastAsia="方正小标宋简体"/>
          <w:sz w:val="44"/>
          <w:szCs w:val="44"/>
        </w:rPr>
        <w:t>（</w:t>
      </w:r>
      <w:r>
        <w:rPr>
          <w:rFonts w:hint="eastAsia" w:eastAsia="方正小标宋简体"/>
          <w:sz w:val="44"/>
          <w:szCs w:val="44"/>
          <w:lang w:val="en-US" w:eastAsia="zh-CN"/>
        </w:rPr>
        <w:t>修订征求意见稿</w:t>
      </w:r>
      <w:r>
        <w:rPr>
          <w:rFonts w:eastAsia="方正小标宋简体"/>
          <w:sz w:val="44"/>
          <w:szCs w:val="44"/>
        </w:rPr>
        <w:t>）</w:t>
      </w:r>
    </w:p>
    <w:p w14:paraId="2C104032">
      <w:pPr>
        <w:keepNext w:val="0"/>
        <w:keepLines w:val="0"/>
        <w:pageBreakBefore w:val="0"/>
        <w:wordWrap/>
        <w:overflowPunct/>
        <w:topLinePunct w:val="0"/>
        <w:bidi w:val="0"/>
        <w:adjustRightInd w:val="0"/>
        <w:spacing w:line="336" w:lineRule="auto"/>
        <w:outlineLvl w:val="0"/>
        <w:rPr>
          <w:rFonts w:hint="eastAsia" w:ascii="仿宋_GB2312" w:hAnsi="仿宋_GB2312" w:eastAsia="仿宋_GB2312" w:cs="仿宋_GB2312"/>
          <w:spacing w:val="3"/>
          <w:sz w:val="32"/>
          <w:szCs w:val="32"/>
        </w:rPr>
      </w:pPr>
    </w:p>
    <w:p w14:paraId="5270D3CB">
      <w:pPr>
        <w:keepNext w:val="0"/>
        <w:keepLines w:val="0"/>
        <w:pageBreakBefore w:val="0"/>
        <w:wordWrap/>
        <w:overflowPunct/>
        <w:topLinePunct w:val="0"/>
        <w:bidi w:val="0"/>
        <w:adjustRightInd w:val="0"/>
        <w:spacing w:line="336" w:lineRule="auto"/>
        <w:jc w:val="center"/>
        <w:outlineLvl w:val="0"/>
        <w:rPr>
          <w:rFonts w:ascii="黑体" w:hAnsi="黑体" w:eastAsia="黑体" w:cs="黑体"/>
          <w:sz w:val="32"/>
          <w:szCs w:val="32"/>
        </w:rPr>
      </w:pPr>
      <w:r>
        <w:rPr>
          <w:rFonts w:ascii="黑体" w:hAnsi="黑体" w:eastAsia="黑体" w:cs="黑体"/>
          <w:spacing w:val="3"/>
          <w:sz w:val="32"/>
          <w:szCs w:val="32"/>
        </w:rPr>
        <w:t>第一章</w:t>
      </w:r>
      <w:r>
        <w:rPr>
          <w:rFonts w:hint="eastAsia" w:ascii="黑体" w:hAnsi="黑体" w:eastAsia="黑体" w:cs="黑体"/>
          <w:spacing w:val="3"/>
          <w:sz w:val="32"/>
          <w:szCs w:val="32"/>
          <w:lang w:val="en-US" w:eastAsia="zh-CN"/>
        </w:rPr>
        <w:t xml:space="preserve">  </w:t>
      </w:r>
      <w:r>
        <w:rPr>
          <w:rFonts w:ascii="黑体" w:hAnsi="黑体" w:eastAsia="黑体" w:cs="黑体"/>
          <w:spacing w:val="3"/>
          <w:sz w:val="32"/>
          <w:szCs w:val="32"/>
        </w:rPr>
        <w:t>总</w:t>
      </w:r>
      <w:r>
        <w:rPr>
          <w:rFonts w:hint="eastAsia" w:ascii="黑体" w:hAnsi="黑体" w:eastAsia="黑体" w:cs="黑体"/>
          <w:spacing w:val="3"/>
          <w:sz w:val="32"/>
          <w:szCs w:val="32"/>
          <w:lang w:val="en-US" w:eastAsia="zh-CN"/>
        </w:rPr>
        <w:t xml:space="preserve">  </w:t>
      </w:r>
      <w:r>
        <w:rPr>
          <w:rFonts w:ascii="黑体" w:hAnsi="黑体" w:eastAsia="黑体" w:cs="黑体"/>
          <w:spacing w:val="3"/>
          <w:sz w:val="32"/>
          <w:szCs w:val="32"/>
        </w:rPr>
        <w:t>则</w:t>
      </w:r>
    </w:p>
    <w:p w14:paraId="2A095E71">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ascii="仿宋" w:hAnsi="仿宋" w:eastAsia="仿宋" w:cs="仿宋"/>
          <w:spacing w:val="5"/>
          <w:sz w:val="32"/>
          <w:szCs w:val="32"/>
        </w:rPr>
      </w:pPr>
      <w:r>
        <w:rPr>
          <w:rFonts w:ascii="黑体" w:hAnsi="黑体" w:eastAsia="黑体" w:cs="黑体"/>
          <w:spacing w:val="5"/>
          <w:sz w:val="32"/>
          <w:szCs w:val="32"/>
        </w:rPr>
        <w:t>第一条</w:t>
      </w:r>
      <w:r>
        <w:rPr>
          <w:rFonts w:ascii="仿宋" w:hAnsi="仿宋" w:eastAsia="仿宋" w:cs="仿宋"/>
          <w:spacing w:val="5"/>
          <w:sz w:val="32"/>
          <w:szCs w:val="32"/>
        </w:rPr>
        <w:t xml:space="preserve"> </w:t>
      </w:r>
      <w:bookmarkStart w:id="2" w:name="_GoBack"/>
      <w:r>
        <w:rPr>
          <w:rFonts w:hint="eastAsia" w:ascii="仿宋_GB2312" w:hAnsi="Times New Roman" w:eastAsia="仿宋_GB2312" w:cs="Times New Roman"/>
          <w:snapToGrid/>
          <w:kern w:val="2"/>
          <w:sz w:val="32"/>
          <w:szCs w:val="32"/>
          <w:lang w:eastAsia="zh-CN"/>
        </w:rPr>
        <w:t>为深入推进“放管服”改革，依法依规、科学合理制定烟草制品零售点合理布局规划，提升烟草专卖行政许可的公开性、公平性和公正性，依据《中华人民共和国行政许可法》《中华人民共和国未成年人保护法》《中华人民共和国烟草专卖法》《中华人民共和国烟草专卖</w:t>
      </w:r>
      <w:bookmarkEnd w:id="2"/>
      <w:r>
        <w:rPr>
          <w:rFonts w:hint="eastAsia" w:ascii="仿宋_GB2312" w:hAnsi="Times New Roman" w:eastAsia="仿宋_GB2312" w:cs="Times New Roman"/>
          <w:snapToGrid/>
          <w:kern w:val="2"/>
          <w:sz w:val="32"/>
          <w:szCs w:val="32"/>
          <w:lang w:eastAsia="zh-CN"/>
        </w:rPr>
        <w:t>法实施条例》《烟草专卖许可证管理办法》《烟草专卖许可证管理办法实施细则》等法律、法规、规章和国家烟草专卖局的有关规定，结合</w:t>
      </w:r>
      <w:r>
        <w:rPr>
          <w:rFonts w:hint="eastAsia" w:ascii="仿宋_GB2312" w:hAnsi="Times New Roman" w:eastAsia="仿宋_GB2312" w:cs="Times New Roman"/>
          <w:snapToGrid/>
          <w:kern w:val="2"/>
          <w:sz w:val="32"/>
          <w:szCs w:val="32"/>
          <w:lang w:val="en-US" w:eastAsia="zh-Hans"/>
        </w:rPr>
        <w:t>新平</w:t>
      </w:r>
      <w:r>
        <w:rPr>
          <w:rFonts w:hint="eastAsia" w:ascii="仿宋_GB2312" w:hAnsi="Times New Roman" w:eastAsia="仿宋_GB2312" w:cs="Times New Roman"/>
          <w:snapToGrid/>
          <w:kern w:val="2"/>
          <w:sz w:val="32"/>
          <w:szCs w:val="32"/>
          <w:lang w:val="en-US" w:eastAsia="zh-CN"/>
        </w:rPr>
        <w:t>彝族傣族自治</w:t>
      </w:r>
      <w:r>
        <w:rPr>
          <w:rFonts w:hint="eastAsia" w:ascii="仿宋_GB2312" w:hAnsi="Times New Roman" w:eastAsia="仿宋_GB2312" w:cs="Times New Roman"/>
          <w:snapToGrid/>
          <w:kern w:val="2"/>
          <w:sz w:val="32"/>
          <w:szCs w:val="32"/>
          <w:lang w:eastAsia="zh-CN"/>
        </w:rPr>
        <w:t>县实际，制定本规划。</w:t>
      </w:r>
    </w:p>
    <w:p w14:paraId="20CB6CC8">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第二条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本规划适用于</w:t>
      </w:r>
      <w:r>
        <w:rPr>
          <w:rFonts w:hint="eastAsia" w:ascii="仿宋_GB2312" w:hAnsi="Times New Roman" w:eastAsia="仿宋_GB2312" w:cs="Times New Roman"/>
          <w:snapToGrid/>
          <w:kern w:val="2"/>
          <w:sz w:val="32"/>
          <w:szCs w:val="32"/>
          <w:lang w:val="en-US" w:eastAsia="zh-Hans"/>
        </w:rPr>
        <w:t>新平</w:t>
      </w:r>
      <w:r>
        <w:rPr>
          <w:rFonts w:hint="eastAsia" w:ascii="仿宋_GB2312" w:hAnsi="Times New Roman" w:eastAsia="仿宋_GB2312" w:cs="Times New Roman"/>
          <w:snapToGrid/>
          <w:kern w:val="2"/>
          <w:sz w:val="32"/>
          <w:szCs w:val="32"/>
          <w:lang w:val="en-US" w:eastAsia="zh-CN"/>
        </w:rPr>
        <w:t>彝族傣族自治</w:t>
      </w:r>
      <w:r>
        <w:rPr>
          <w:rFonts w:hint="eastAsia" w:ascii="仿宋_GB2312" w:hAnsi="Times New Roman" w:eastAsia="仿宋_GB2312" w:cs="Times New Roman"/>
          <w:snapToGrid/>
          <w:kern w:val="2"/>
          <w:sz w:val="32"/>
          <w:szCs w:val="32"/>
          <w:lang w:val="en-US" w:eastAsia="zh-Hans"/>
        </w:rPr>
        <w:t>县</w:t>
      </w:r>
      <w:r>
        <w:rPr>
          <w:rFonts w:hint="eastAsia" w:ascii="仿宋_GB2312" w:hAnsi="Times New Roman" w:eastAsia="仿宋_GB2312" w:cs="Times New Roman"/>
          <w:snapToGrid/>
          <w:kern w:val="2"/>
          <w:sz w:val="32"/>
          <w:szCs w:val="32"/>
          <w:lang w:eastAsia="zh-CN"/>
        </w:rPr>
        <w:t>行政辖区范围内烟草制品零售点的布局管理。电子烟零售点布局按照《云南省电子烟零售点布局规划》执行。</w:t>
      </w:r>
    </w:p>
    <w:p w14:paraId="15EFE194">
      <w:pPr>
        <w:keepNext w:val="0"/>
        <w:keepLines w:val="0"/>
        <w:pageBreakBefore w:val="0"/>
        <w:widowControl w:val="0"/>
        <w:kinsoku/>
        <w:wordWrap/>
        <w:overflowPunct/>
        <w:topLinePunct w:val="0"/>
        <w:autoSpaceDE/>
        <w:autoSpaceDN/>
        <w:bidi w:val="0"/>
        <w:adjustRightInd w:val="0"/>
        <w:snapToGrid/>
        <w:spacing w:line="336" w:lineRule="auto"/>
        <w:ind w:firstLine="660" w:firstLineChars="200"/>
        <w:jc w:val="both"/>
        <w:textAlignment w:val="auto"/>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第三条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本规划所称烟草制品零售点（以下简称零售点）是指依法取得烟草专卖零售许可证（以下简称零售许可证）的公民、法人或其他组织从事烟草制品零售业务的经营场所。</w:t>
      </w:r>
    </w:p>
    <w:p w14:paraId="50EF5769">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零售点应当设置于与住所相独立的固定经营场所，经营场所与住所应当在空间上相互独立，在物理特性上应有实体墙相隔离。经营场所应有指向明确并唯一的门牌、地址或者方位表述，且与营业执照登记注册的经营场所一致，并面向公众经营。</w:t>
      </w:r>
    </w:p>
    <w:p w14:paraId="71374C41">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ascii="黑体" w:hAnsi="黑体" w:eastAsia="黑体" w:cs="黑体"/>
          <w:spacing w:val="3"/>
          <w:sz w:val="32"/>
          <w:szCs w:val="32"/>
        </w:rPr>
      </w:pPr>
      <w:r>
        <w:rPr>
          <w:rFonts w:ascii="黑体" w:hAnsi="黑体" w:eastAsia="黑体" w:cs="黑体"/>
          <w:spacing w:val="5"/>
          <w:sz w:val="32"/>
          <w:szCs w:val="32"/>
        </w:rPr>
        <w:t>第四条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本规划遵循依法行政、科学规划、服务社会、均衡发展原则，综合辖区内人口数量、交通状况、经济发展水平、消费能力等因素，对零售点进行科学合理的规划布局。</w:t>
      </w:r>
    </w:p>
    <w:p w14:paraId="12E19DED">
      <w:pPr>
        <w:keepNext w:val="0"/>
        <w:keepLines w:val="0"/>
        <w:pageBreakBefore w:val="0"/>
        <w:widowControl/>
        <w:kinsoku w:val="0"/>
        <w:wordWrap/>
        <w:overflowPunct/>
        <w:topLinePunct w:val="0"/>
        <w:autoSpaceDE w:val="0"/>
        <w:autoSpaceDN w:val="0"/>
        <w:bidi w:val="0"/>
        <w:adjustRightInd w:val="0"/>
        <w:snapToGrid w:val="0"/>
        <w:spacing w:line="336" w:lineRule="auto"/>
        <w:jc w:val="center"/>
        <w:textAlignment w:val="baseline"/>
        <w:outlineLvl w:val="0"/>
        <w:rPr>
          <w:sz w:val="32"/>
          <w:szCs w:val="32"/>
        </w:rPr>
      </w:pPr>
      <w:r>
        <w:rPr>
          <w:rFonts w:ascii="黑体" w:hAnsi="黑体" w:eastAsia="黑体" w:cs="黑体"/>
          <w:spacing w:val="3"/>
          <w:sz w:val="32"/>
          <w:szCs w:val="32"/>
        </w:rPr>
        <w:t>第二章</w:t>
      </w:r>
      <w:r>
        <w:rPr>
          <w:rFonts w:hint="eastAsia" w:ascii="黑体" w:hAnsi="黑体" w:eastAsia="黑体" w:cs="黑体"/>
          <w:spacing w:val="3"/>
          <w:sz w:val="32"/>
          <w:szCs w:val="32"/>
          <w:lang w:val="en-US" w:eastAsia="zh-CN"/>
        </w:rPr>
        <w:t xml:space="preserve">  </w:t>
      </w:r>
      <w:r>
        <w:rPr>
          <w:rFonts w:ascii="黑体" w:hAnsi="黑体" w:eastAsia="黑体" w:cs="黑体"/>
          <w:spacing w:val="3"/>
          <w:sz w:val="32"/>
          <w:szCs w:val="32"/>
        </w:rPr>
        <w:t>零售点布局标准</w:t>
      </w:r>
    </w:p>
    <w:p w14:paraId="353827A6">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第五条</w:t>
      </w:r>
      <w:r>
        <w:rPr>
          <w:rFonts w:hint="eastAsia" w:ascii="黑体" w:hAnsi="黑体" w:eastAsia="黑体" w:cs="黑体"/>
          <w:spacing w:val="5"/>
          <w:sz w:val="32"/>
          <w:szCs w:val="32"/>
          <w:lang w:val="en-US" w:eastAsia="zh-CN"/>
        </w:rPr>
        <w:t xml:space="preserve">  </w:t>
      </w:r>
      <w:r>
        <w:rPr>
          <w:rFonts w:hint="eastAsia" w:ascii="仿宋_GB2312" w:hAnsi="Times New Roman" w:eastAsia="仿宋_GB2312" w:cs="Times New Roman"/>
          <w:snapToGrid/>
          <w:kern w:val="2"/>
          <w:sz w:val="32"/>
          <w:szCs w:val="32"/>
          <w:lang w:val="en-US" w:eastAsia="zh-CN"/>
        </w:rPr>
        <w:t>本章适用于经营范围除“仅为雪茄烟本店零售”以外的卷烟、雪茄烟、消费类烟丝的零售点布局管理。</w:t>
      </w:r>
    </w:p>
    <w:p w14:paraId="11BA21EC">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ascii="黑体" w:hAnsi="黑体" w:eastAsia="黑体" w:cs="黑体"/>
          <w:spacing w:val="5"/>
          <w:sz w:val="32"/>
          <w:szCs w:val="32"/>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六</w:t>
      </w:r>
      <w:r>
        <w:rPr>
          <w:rFonts w:ascii="黑体" w:hAnsi="黑体" w:eastAsia="黑体" w:cs="黑体"/>
          <w:spacing w:val="5"/>
          <w:sz w:val="32"/>
          <w:szCs w:val="32"/>
        </w:rPr>
        <w:t>条</w:t>
      </w:r>
      <w:r>
        <w:rPr>
          <w:rFonts w:ascii="仿宋" w:hAnsi="仿宋" w:eastAsia="仿宋" w:cs="仿宋"/>
          <w:spacing w:val="5"/>
          <w:sz w:val="32"/>
          <w:szCs w:val="32"/>
        </w:rPr>
        <w:t xml:space="preserve"> 零</w:t>
      </w:r>
      <w:r>
        <w:rPr>
          <w:rFonts w:hint="eastAsia" w:ascii="仿宋_GB2312" w:hAnsi="Times New Roman" w:eastAsia="仿宋_GB2312" w:cs="Times New Roman"/>
          <w:snapToGrid/>
          <w:kern w:val="2"/>
          <w:sz w:val="32"/>
          <w:szCs w:val="32"/>
          <w:lang w:eastAsia="zh-CN"/>
        </w:rPr>
        <w:t>售点布局采用数量限制、距离限制、数量限制与距离限制相结合以及不予设置烟草制品零售点等布局标准。</w:t>
      </w:r>
    </w:p>
    <w:p w14:paraId="3134B488">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ascii="仿宋" w:hAnsi="仿宋" w:eastAsia="仿宋" w:cs="仿宋"/>
          <w:spacing w:val="5"/>
          <w:sz w:val="32"/>
          <w:szCs w:val="32"/>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七</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根据地域面积、人口数量、交通状况、经济发展水平、居民消费能力、消费购买习惯等因素，合理确定区域零售点规划数，并划定单元网格。单元网格零售点规划数是指单元网格内可设置零售点的数量。总量规划数是指</w:t>
      </w:r>
      <w:r>
        <w:rPr>
          <w:rFonts w:hint="eastAsia" w:ascii="仿宋_GB2312" w:hAnsi="Times New Roman" w:eastAsia="仿宋_GB2312" w:cs="Times New Roman"/>
          <w:snapToGrid/>
          <w:kern w:val="2"/>
          <w:sz w:val="32"/>
          <w:szCs w:val="32"/>
          <w:lang w:val="en-US" w:eastAsia="zh-Hans"/>
        </w:rPr>
        <w:t>新平</w:t>
      </w:r>
      <w:r>
        <w:rPr>
          <w:rFonts w:hint="eastAsia" w:ascii="仿宋_GB2312" w:hAnsi="Times New Roman" w:eastAsia="仿宋_GB2312" w:cs="Times New Roman"/>
          <w:snapToGrid/>
          <w:kern w:val="2"/>
          <w:sz w:val="32"/>
          <w:szCs w:val="32"/>
          <w:lang w:eastAsia="zh-CN"/>
        </w:rPr>
        <w:t>县辖区范围内所有单元网格零售点规划数之和。</w:t>
      </w:r>
    </w:p>
    <w:p w14:paraId="1C2FDB6E">
      <w:pPr>
        <w:keepNext w:val="0"/>
        <w:keepLines w:val="0"/>
        <w:pageBreakBefore w:val="0"/>
        <w:widowControl w:val="0"/>
        <w:kinsoku w:val="0"/>
        <w:wordWrap/>
        <w:overflowPunct/>
        <w:topLinePunct w:val="0"/>
        <w:autoSpaceDE w:val="0"/>
        <w:autoSpaceDN w:val="0"/>
        <w:bidi w:val="0"/>
        <w:adjustRightInd w:val="0"/>
        <w:snapToGrid w:val="0"/>
        <w:spacing w:line="336" w:lineRule="auto"/>
        <w:ind w:left="0" w:leftChars="0" w:right="0" w:rightChars="0" w:firstLine="640" w:firstLineChars="200"/>
        <w:jc w:val="both"/>
        <w:textAlignment w:val="baseline"/>
        <w:outlineLvl w:val="9"/>
        <w:rPr>
          <w:rFonts w:ascii="仿宋" w:hAnsi="仿宋" w:eastAsia="仿宋" w:cs="仿宋"/>
          <w:spacing w:val="5"/>
          <w:sz w:val="32"/>
          <w:szCs w:val="32"/>
        </w:rPr>
      </w:pPr>
      <w:r>
        <w:rPr>
          <w:rFonts w:hint="eastAsia" w:ascii="仿宋_GB2312" w:hAnsi="Times New Roman" w:eastAsia="仿宋_GB2312" w:cs="Times New Roman"/>
          <w:snapToGrid/>
          <w:kern w:val="2"/>
          <w:sz w:val="32"/>
          <w:szCs w:val="32"/>
          <w:lang w:eastAsia="zh-CN"/>
        </w:rPr>
        <w:t>除本章规定的特殊区域外，单元网格内零售点数量达到规划数时，该单元网格不予新设零售点。</w:t>
      </w:r>
    </w:p>
    <w:p w14:paraId="1FD3B442">
      <w:pPr>
        <w:keepNext w:val="0"/>
        <w:keepLines w:val="0"/>
        <w:pageBreakBefore w:val="0"/>
        <w:widowControl w:val="0"/>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八</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根据零售市场状态、交通状况、人口热度、消费购买习惯等因素，合理确定零售点间距。零售点间距是指申请人拟从事烟草制品零售业务的经营场所与最近的烟草制品零售点之间的距离。测量的总体原则为两个零售点“门边到门边”可安全步行的最短距离。测量规则及标准详见《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县烟草制品零售点间距测量规则及标准》（附件</w:t>
      </w:r>
      <w:r>
        <w:rPr>
          <w:rFonts w:hint="eastAsia" w:asciiTheme="minorEastAsia" w:hAnsiTheme="minorEastAsia" w:eastAsiaTheme="minorEastAsia" w:cstheme="minorEastAsia"/>
          <w:snapToGrid/>
          <w:kern w:val="2"/>
          <w:sz w:val="32"/>
          <w:szCs w:val="32"/>
          <w:lang w:eastAsia="zh-CN"/>
        </w:rPr>
        <w:t>1</w:t>
      </w:r>
      <w:r>
        <w:rPr>
          <w:rFonts w:hint="eastAsia" w:ascii="仿宋_GB2312" w:hAnsi="Times New Roman" w:eastAsia="仿宋_GB2312" w:cs="Times New Roman"/>
          <w:snapToGrid/>
          <w:kern w:val="2"/>
          <w:sz w:val="32"/>
          <w:szCs w:val="32"/>
          <w:lang w:eastAsia="zh-CN"/>
        </w:rPr>
        <w:t>）。</w:t>
      </w:r>
    </w:p>
    <w:p w14:paraId="292EF046">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ascii="仿宋" w:hAnsi="仿宋" w:eastAsia="仿宋" w:cs="仿宋"/>
          <w:spacing w:val="5"/>
          <w:sz w:val="32"/>
          <w:szCs w:val="32"/>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九</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火车站、汽车站等相对封闭的内部等候区，可设置</w:t>
      </w:r>
      <w:r>
        <w:rPr>
          <w:rFonts w:hint="eastAsia" w:ascii="仿宋_GB2312" w:hAnsi="Times New Roman" w:eastAsia="仿宋_GB2312" w:cs="Times New Roman"/>
          <w:snapToGrid/>
          <w:kern w:val="2"/>
          <w:sz w:val="32"/>
          <w:szCs w:val="32"/>
          <w:lang w:val="en-US" w:eastAsia="zh-CN"/>
        </w:rPr>
        <w:t>1</w:t>
      </w:r>
      <w:r>
        <w:rPr>
          <w:rFonts w:hint="eastAsia" w:ascii="仿宋_GB2312" w:hAnsi="Times New Roman" w:eastAsia="仿宋_GB2312" w:cs="Times New Roman"/>
          <w:snapToGrid/>
          <w:kern w:val="2"/>
          <w:sz w:val="32"/>
          <w:szCs w:val="32"/>
          <w:lang w:eastAsia="zh-CN"/>
        </w:rPr>
        <w:t>个零售点，不受单元网格规划数及总量规划数限制。</w:t>
      </w:r>
    </w:p>
    <w:p w14:paraId="40DD55E6">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十</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部队、监狱、看守所、戒毒所等封闭式特殊区域，可设置</w:t>
      </w:r>
      <w:r>
        <w:rPr>
          <w:rFonts w:hint="eastAsia" w:ascii="仿宋_GB2312" w:hAnsi="Times New Roman" w:eastAsia="仿宋_GB2312" w:cs="Times New Roman"/>
          <w:snapToGrid/>
          <w:kern w:val="2"/>
          <w:sz w:val="32"/>
          <w:szCs w:val="32"/>
          <w:lang w:val="en-US" w:eastAsia="zh-CN"/>
        </w:rPr>
        <w:t>1</w:t>
      </w:r>
      <w:r>
        <w:rPr>
          <w:rFonts w:hint="eastAsia" w:ascii="仿宋_GB2312" w:hAnsi="Times New Roman" w:eastAsia="仿宋_GB2312" w:cs="Times New Roman"/>
          <w:snapToGrid/>
          <w:kern w:val="2"/>
          <w:sz w:val="32"/>
          <w:szCs w:val="32"/>
          <w:lang w:eastAsia="zh-CN"/>
        </w:rPr>
        <w:t>个零售点，不受单元网格规划数及总量规划数限制。</w:t>
      </w:r>
    </w:p>
    <w:p w14:paraId="2B1D0132">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4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高速公路单侧加油站（含服务区）,可设置</w:t>
      </w:r>
      <w:r>
        <w:rPr>
          <w:rFonts w:hint="eastAsia" w:ascii="仿宋_GB2312" w:hAnsi="Times New Roman" w:eastAsia="仿宋_GB2312" w:cs="Times New Roman"/>
          <w:snapToGrid/>
          <w:kern w:val="2"/>
          <w:sz w:val="32"/>
          <w:szCs w:val="32"/>
          <w:lang w:val="en-US" w:eastAsia="zh-CN"/>
        </w:rPr>
        <w:t>1</w:t>
      </w:r>
      <w:r>
        <w:rPr>
          <w:rFonts w:hint="eastAsia" w:ascii="仿宋_GB2312" w:hAnsi="Times New Roman" w:eastAsia="仿宋_GB2312" w:cs="Times New Roman"/>
          <w:snapToGrid/>
          <w:kern w:val="2"/>
          <w:sz w:val="32"/>
          <w:szCs w:val="32"/>
          <w:lang w:eastAsia="zh-CN"/>
        </w:rPr>
        <w:t>个零售点，不受单元网格规划数及总量规划数限制。</w:t>
      </w:r>
    </w:p>
    <w:p w14:paraId="3EC784E2">
      <w:pPr>
        <w:keepNext w:val="0"/>
        <w:keepLines w:val="0"/>
        <w:pageBreakBefore w:val="0"/>
        <w:widowControl w:val="0"/>
        <w:numPr>
          <w:ilvl w:val="0"/>
          <w:numId w:val="0"/>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楷体"/>
          <w:color w:val="FF0000"/>
          <w:sz w:val="32"/>
          <w:szCs w:val="32"/>
        </w:rPr>
      </w:pPr>
      <w:r>
        <w:rPr>
          <w:rFonts w:hint="eastAsia" w:ascii="黑体" w:hAnsi="黑体" w:eastAsia="黑体"/>
          <w:color w:val="FF0000"/>
          <w:spacing w:val="10"/>
          <w:sz w:val="32"/>
          <w:szCs w:val="32"/>
        </w:rPr>
        <w:t>第</w:t>
      </w:r>
      <w:r>
        <w:rPr>
          <w:rFonts w:hint="eastAsia" w:ascii="黑体" w:hAnsi="黑体" w:eastAsia="黑体"/>
          <w:color w:val="FF0000"/>
          <w:spacing w:val="10"/>
          <w:sz w:val="32"/>
          <w:szCs w:val="32"/>
          <w:lang w:val="en-US" w:eastAsia="zh-CN"/>
        </w:rPr>
        <w:t>十一</w:t>
      </w:r>
      <w:r>
        <w:rPr>
          <w:rFonts w:hint="eastAsia" w:ascii="黑体" w:hAnsi="黑体" w:eastAsia="黑体"/>
          <w:color w:val="FF0000"/>
          <w:spacing w:val="10"/>
          <w:sz w:val="32"/>
          <w:szCs w:val="32"/>
        </w:rPr>
        <w:t>条</w:t>
      </w:r>
      <w:r>
        <w:rPr>
          <w:rFonts w:hint="eastAsia" w:ascii="黑体" w:hAnsi="黑体" w:eastAsia="黑体" w:cs="黑体"/>
          <w:color w:val="FF0000"/>
          <w:spacing w:val="10"/>
          <w:sz w:val="32"/>
          <w:szCs w:val="32"/>
          <w:lang w:val="en-US" w:eastAsia="zh-CN"/>
        </w:rPr>
        <w:t xml:space="preserve"> </w:t>
      </w:r>
      <w:r>
        <w:rPr>
          <w:rFonts w:hint="eastAsia" w:eastAsia="仿宋_GB2312"/>
          <w:color w:val="FF0000"/>
          <w:spacing w:val="10"/>
          <w:sz w:val="32"/>
          <w:szCs w:val="32"/>
          <w:lang w:val="en-US" w:eastAsia="zh-CN"/>
        </w:rPr>
        <w:t>经营场所经营面积（不包括仓库、车库、休息室、办公场所等辅助设施面积）达到200平方米以上的烟草专业店，达到500平方米以上的超市，达到1000平方米以上的商场，可设置一个零售点，不受单元网格规划数及总量规划数限制、距离限制。</w:t>
      </w:r>
    </w:p>
    <w:p w14:paraId="170C2736">
      <w:pPr>
        <w:keepNext w:val="0"/>
        <w:keepLines w:val="0"/>
        <w:pageBreakBefore w:val="0"/>
        <w:widowControl w:val="0"/>
        <w:numPr>
          <w:ilvl w:val="0"/>
          <w:numId w:val="0"/>
        </w:numPr>
        <w:kinsoku/>
        <w:wordWrap w:val="0"/>
        <w:overflowPunct/>
        <w:topLinePunct w:val="0"/>
        <w:autoSpaceDE/>
        <w:autoSpaceDN/>
        <w:bidi w:val="0"/>
        <w:adjustRightInd w:val="0"/>
        <w:snapToGrid w:val="0"/>
        <w:spacing w:after="0" w:line="360" w:lineRule="auto"/>
        <w:ind w:firstLine="680" w:firstLineChars="200"/>
        <w:jc w:val="left"/>
        <w:textAlignment w:val="baseline"/>
        <w:rPr>
          <w:rFonts w:hint="eastAsia" w:eastAsia="仿宋_GB2312"/>
          <w:color w:val="FF0000"/>
          <w:spacing w:val="10"/>
          <w:sz w:val="32"/>
          <w:szCs w:val="32"/>
        </w:rPr>
      </w:pPr>
      <w:r>
        <w:rPr>
          <w:rFonts w:hint="eastAsia" w:ascii="黑体" w:hAnsi="黑体" w:eastAsia="黑体"/>
          <w:color w:val="FF0000"/>
          <w:spacing w:val="10"/>
          <w:sz w:val="32"/>
          <w:szCs w:val="32"/>
        </w:rPr>
        <w:t>第</w:t>
      </w:r>
      <w:r>
        <w:rPr>
          <w:rFonts w:hint="eastAsia" w:ascii="黑体" w:hAnsi="黑体" w:eastAsia="黑体"/>
          <w:color w:val="FF0000"/>
          <w:spacing w:val="10"/>
          <w:sz w:val="32"/>
          <w:szCs w:val="32"/>
          <w:lang w:val="en-US" w:eastAsia="zh-CN"/>
        </w:rPr>
        <w:t>十二</w:t>
      </w:r>
      <w:r>
        <w:rPr>
          <w:rFonts w:hint="eastAsia" w:ascii="黑体" w:hAnsi="黑体" w:eastAsia="黑体"/>
          <w:color w:val="FF0000"/>
          <w:spacing w:val="10"/>
          <w:sz w:val="32"/>
          <w:szCs w:val="32"/>
        </w:rPr>
        <w:t>条</w:t>
      </w:r>
      <w:r>
        <w:rPr>
          <w:rFonts w:hint="eastAsia" w:ascii="黑体" w:hAnsi="黑体" w:eastAsia="黑体" w:cs="黑体"/>
          <w:color w:val="FF0000"/>
          <w:spacing w:val="10"/>
          <w:sz w:val="32"/>
          <w:szCs w:val="32"/>
          <w:lang w:val="en-US" w:eastAsia="zh-CN"/>
        </w:rPr>
        <w:t xml:space="preserve"> </w:t>
      </w:r>
      <w:r>
        <w:rPr>
          <w:rFonts w:hint="eastAsia" w:eastAsia="仿宋_GB2312"/>
          <w:color w:val="FF0000"/>
          <w:spacing w:val="10"/>
          <w:sz w:val="32"/>
          <w:szCs w:val="32"/>
          <w:lang w:val="en-US" w:eastAsia="zh-CN"/>
        </w:rPr>
        <w:t>商用办公楼宇公共楼层已形成实际商品展卖场所的，每栋楼宇可设置一个零售点，不受单元网格规划数及总量规划数限制、距离限制，非公共楼层不予设置零售点。</w:t>
      </w:r>
    </w:p>
    <w:p w14:paraId="66FE913F">
      <w:pPr>
        <w:keepNext w:val="0"/>
        <w:keepLines w:val="0"/>
        <w:pageBreakBefore w:val="0"/>
        <w:widowControl/>
        <w:kinsoku w:val="0"/>
        <w:wordWrap/>
        <w:overflowPunct/>
        <w:topLinePunct w:val="0"/>
        <w:autoSpaceDE w:val="0"/>
        <w:autoSpaceDN w:val="0"/>
        <w:bidi w:val="0"/>
        <w:adjustRightInd w:val="0"/>
        <w:snapToGrid w:val="0"/>
        <w:spacing w:line="336" w:lineRule="auto"/>
        <w:ind w:right="0" w:rightChars="0" w:firstLine="660" w:firstLineChars="200"/>
        <w:jc w:val="both"/>
        <w:textAlignment w:val="baseline"/>
        <w:outlineLvl w:val="9"/>
        <w:rPr>
          <w:rFonts w:ascii="黑体" w:hAnsi="黑体" w:eastAsia="黑体" w:cs="黑体"/>
          <w:spacing w:val="3"/>
          <w:sz w:val="32"/>
          <w:szCs w:val="32"/>
        </w:rPr>
      </w:pPr>
      <w:r>
        <w:rPr>
          <w:rFonts w:hint="eastAsia" w:ascii="黑体" w:hAnsi="黑体" w:eastAsia="黑体" w:cs="黑体"/>
          <w:spacing w:val="5"/>
          <w:sz w:val="32"/>
          <w:szCs w:val="32"/>
          <w:lang w:val="en-US" w:eastAsia="zh-CN"/>
        </w:rPr>
        <w:t>第十三条</w:t>
      </w:r>
      <w:r>
        <w:rPr>
          <w:rFonts w:hint="default" w:ascii="仿宋" w:hAnsi="仿宋" w:eastAsia="仿宋" w:cs="仿宋"/>
          <w:spacing w:val="5"/>
          <w:sz w:val="32"/>
          <w:szCs w:val="32"/>
          <w:lang w:eastAsia="zh-CN"/>
        </w:rPr>
        <w:t xml:space="preserve"> </w:t>
      </w:r>
      <w:r>
        <w:rPr>
          <w:rFonts w:hint="eastAsia" w:ascii="仿宋_GB2312" w:hAnsi="Times New Roman" w:eastAsia="仿宋_GB2312" w:cs="Times New Roman"/>
          <w:snapToGrid/>
          <w:kern w:val="2"/>
          <w:sz w:val="32"/>
          <w:szCs w:val="32"/>
          <w:lang w:eastAsia="zh-CN"/>
        </w:rPr>
        <w:t>本县零售点合理布局规划数及规划区域、单元网格等情况详见《云南省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县烟草制品零售点合理布局公示表》（附件2）及《</w:t>
      </w:r>
      <w:r>
        <w:rPr>
          <w:rFonts w:hint="eastAsia" w:ascii="仿宋_GB2312" w:hAnsi="Times New Roman" w:eastAsia="仿宋_GB2312" w:cs="Times New Roman"/>
          <w:snapToGrid/>
          <w:kern w:val="2"/>
          <w:sz w:val="32"/>
          <w:szCs w:val="32"/>
          <w:lang w:val="en-US" w:eastAsia="zh-Hans"/>
        </w:rPr>
        <w:t>云南省新平彝族傣族自治县烟草制品零售点合理布局网格示意图</w:t>
      </w:r>
      <w:r>
        <w:rPr>
          <w:rFonts w:hint="eastAsia" w:ascii="仿宋_GB2312" w:hAnsi="Times New Roman" w:eastAsia="仿宋_GB2312" w:cs="Times New Roman"/>
          <w:snapToGrid/>
          <w:kern w:val="2"/>
          <w:sz w:val="32"/>
          <w:szCs w:val="32"/>
          <w:lang w:eastAsia="zh-CN"/>
        </w:rPr>
        <w:t>》（附件3）。</w:t>
      </w:r>
    </w:p>
    <w:p w14:paraId="4450D275">
      <w:pPr>
        <w:keepNext w:val="0"/>
        <w:keepLines w:val="0"/>
        <w:pageBreakBefore w:val="0"/>
        <w:widowControl/>
        <w:kinsoku w:val="0"/>
        <w:wordWrap/>
        <w:overflowPunct/>
        <w:topLinePunct w:val="0"/>
        <w:autoSpaceDE w:val="0"/>
        <w:autoSpaceDN w:val="0"/>
        <w:bidi w:val="0"/>
        <w:adjustRightInd w:val="0"/>
        <w:snapToGrid w:val="0"/>
        <w:spacing w:line="336" w:lineRule="auto"/>
        <w:jc w:val="center"/>
        <w:textAlignment w:val="baseline"/>
        <w:outlineLvl w:val="0"/>
        <w:rPr>
          <w:sz w:val="32"/>
          <w:szCs w:val="32"/>
        </w:rPr>
      </w:pPr>
      <w:r>
        <w:rPr>
          <w:rFonts w:ascii="黑体" w:hAnsi="黑体" w:eastAsia="黑体" w:cs="黑体"/>
          <w:spacing w:val="3"/>
          <w:sz w:val="32"/>
          <w:szCs w:val="32"/>
        </w:rPr>
        <w:t>第</w:t>
      </w:r>
      <w:r>
        <w:rPr>
          <w:rFonts w:hint="eastAsia" w:ascii="黑体" w:hAnsi="黑体" w:eastAsia="黑体" w:cs="黑体"/>
          <w:spacing w:val="3"/>
          <w:sz w:val="32"/>
          <w:szCs w:val="32"/>
          <w:lang w:eastAsia="zh-CN"/>
        </w:rPr>
        <w:t>三</w:t>
      </w:r>
      <w:r>
        <w:rPr>
          <w:rFonts w:ascii="黑体" w:hAnsi="黑体" w:eastAsia="黑体" w:cs="黑体"/>
          <w:spacing w:val="3"/>
          <w:sz w:val="32"/>
          <w:szCs w:val="32"/>
        </w:rPr>
        <w:t>章</w:t>
      </w:r>
      <w:r>
        <w:rPr>
          <w:rFonts w:hint="eastAsia" w:ascii="黑体" w:hAnsi="黑体" w:eastAsia="黑体" w:cs="黑体"/>
          <w:spacing w:val="3"/>
          <w:sz w:val="32"/>
          <w:szCs w:val="32"/>
          <w:lang w:val="en-US" w:eastAsia="zh-CN"/>
        </w:rPr>
        <w:t xml:space="preserve">  </w:t>
      </w:r>
      <w:r>
        <w:rPr>
          <w:rFonts w:hint="eastAsia" w:ascii="黑体" w:hAnsi="黑体" w:eastAsia="黑体" w:cs="黑体"/>
          <w:spacing w:val="3"/>
          <w:sz w:val="32"/>
          <w:szCs w:val="32"/>
        </w:rPr>
        <w:t>雪茄烟专营零售点布局标准</w:t>
      </w:r>
    </w:p>
    <w:p w14:paraId="13970344">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right="0" w:rightChars="0" w:firstLine="660" w:firstLineChars="200"/>
        <w:jc w:val="left"/>
        <w:textAlignment w:val="baseline"/>
        <w:rPr>
          <w:rFonts w:hint="eastAsia" w:ascii="仿宋_GB2312" w:hAnsi="Times New Roman" w:eastAsia="仿宋_GB2312" w:cs="Times New Roman"/>
          <w:snapToGrid/>
          <w:kern w:val="2"/>
          <w:sz w:val="32"/>
          <w:szCs w:val="32"/>
          <w:lang w:eastAsia="zh-CN"/>
        </w:rPr>
      </w:pPr>
      <w:r>
        <w:rPr>
          <w:rFonts w:hint="eastAsia" w:ascii="黑体" w:hAnsi="黑体" w:eastAsia="黑体" w:cs="黑体"/>
          <w:spacing w:val="5"/>
          <w:sz w:val="32"/>
          <w:szCs w:val="32"/>
          <w:lang w:val="en-US" w:eastAsia="zh-CN"/>
        </w:rPr>
        <w:t>第十四条</w:t>
      </w:r>
      <w:r>
        <w:rPr>
          <w:rFonts w:hint="eastAsia" w:ascii="方正仿宋_GB2312" w:hAnsi="方正仿宋_GB2312" w:eastAsia="方正仿宋_GB2312" w:cs="方正仿宋_GB2312"/>
          <w:color w:val="FF0000"/>
          <w:sz w:val="32"/>
          <w:szCs w:val="32"/>
          <w:lang w:val="en-US" w:eastAsia="zh-CN"/>
        </w:rPr>
        <w:t xml:space="preserve"> </w:t>
      </w:r>
      <w:r>
        <w:rPr>
          <w:rFonts w:hint="eastAsia" w:ascii="仿宋_GB2312" w:hAnsi="Times New Roman" w:eastAsia="仿宋_GB2312" w:cs="Times New Roman"/>
          <w:snapToGrid/>
          <w:kern w:val="2"/>
          <w:sz w:val="32"/>
          <w:szCs w:val="32"/>
          <w:lang w:eastAsia="zh-CN"/>
        </w:rPr>
        <w:t>本章适用于</w:t>
      </w:r>
      <w:r>
        <w:rPr>
          <w:rFonts w:hint="eastAsia" w:ascii="仿宋_GB2312" w:hAnsi="Times New Roman" w:eastAsia="仿宋_GB2312" w:cs="Times New Roman"/>
          <w:snapToGrid/>
          <w:kern w:val="2"/>
          <w:sz w:val="32"/>
          <w:szCs w:val="32"/>
          <w:lang w:val="en-US" w:eastAsia="zh-CN"/>
        </w:rPr>
        <w:t>经营范围仅为</w:t>
      </w:r>
      <w:r>
        <w:rPr>
          <w:rFonts w:hint="eastAsia" w:ascii="仿宋_GB2312" w:hAnsi="Times New Roman" w:eastAsia="仿宋_GB2312" w:cs="Times New Roman"/>
          <w:snapToGrid/>
          <w:kern w:val="2"/>
          <w:sz w:val="32"/>
          <w:szCs w:val="32"/>
          <w:lang w:eastAsia="zh-CN"/>
        </w:rPr>
        <w:t>雪茄烟</w:t>
      </w:r>
      <w:r>
        <w:rPr>
          <w:rFonts w:hint="eastAsia" w:ascii="仿宋_GB2312" w:hAnsi="Times New Roman" w:eastAsia="仿宋_GB2312" w:cs="Times New Roman"/>
          <w:snapToGrid/>
          <w:kern w:val="2"/>
          <w:sz w:val="32"/>
          <w:szCs w:val="32"/>
          <w:lang w:val="en-US" w:eastAsia="zh-CN"/>
        </w:rPr>
        <w:t>本店零售的零售点布局管理</w:t>
      </w:r>
      <w:r>
        <w:rPr>
          <w:rFonts w:hint="eastAsia" w:ascii="仿宋_GB2312" w:hAnsi="Times New Roman" w:eastAsia="仿宋_GB2312" w:cs="Times New Roman"/>
          <w:snapToGrid/>
          <w:kern w:val="2"/>
          <w:sz w:val="32"/>
          <w:szCs w:val="32"/>
          <w:lang w:eastAsia="zh-CN"/>
        </w:rPr>
        <w:t>。</w:t>
      </w:r>
    </w:p>
    <w:p w14:paraId="455FE707">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right="0" w:rightChars="0" w:firstLine="660" w:firstLineChars="200"/>
        <w:jc w:val="left"/>
        <w:textAlignment w:val="baseline"/>
        <w:rPr>
          <w:rFonts w:hint="eastAsia" w:ascii="方正仿宋_GB2312" w:hAnsi="方正仿宋_GB2312" w:eastAsia="方正仿宋_GB2312" w:cs="方正仿宋_GB2312"/>
          <w:color w:val="FF0000"/>
          <w:spacing w:val="10"/>
          <w:sz w:val="32"/>
          <w:szCs w:val="32"/>
        </w:rPr>
      </w:pPr>
      <w:r>
        <w:rPr>
          <w:rFonts w:hint="eastAsia" w:ascii="黑体" w:hAnsi="黑体" w:eastAsia="黑体" w:cs="黑体"/>
          <w:spacing w:val="5"/>
          <w:sz w:val="32"/>
          <w:szCs w:val="32"/>
          <w:lang w:val="en-US" w:eastAsia="zh-CN"/>
        </w:rPr>
        <w:t>第十五条</w:t>
      </w:r>
      <w:r>
        <w:rPr>
          <w:rFonts w:hint="eastAsia" w:ascii="方正仿宋_GB2312" w:hAnsi="方正仿宋_GB2312" w:eastAsia="方正仿宋_GB2312" w:cs="方正仿宋_GB2312"/>
          <w:color w:val="FF0000"/>
          <w:spacing w:val="10"/>
          <w:sz w:val="32"/>
          <w:szCs w:val="32"/>
          <w:lang w:val="en-US" w:eastAsia="zh-CN"/>
        </w:rPr>
        <w:t xml:space="preserve"> </w:t>
      </w:r>
      <w:r>
        <w:rPr>
          <w:rFonts w:hint="eastAsia" w:ascii="仿宋_GB2312" w:hAnsi="Times New Roman" w:eastAsia="仿宋_GB2312" w:cs="Times New Roman"/>
          <w:snapToGrid/>
          <w:kern w:val="2"/>
          <w:sz w:val="32"/>
          <w:szCs w:val="32"/>
          <w:lang w:eastAsia="zh-CN"/>
        </w:rPr>
        <w:t>雪茄烟专营零售点数量实行总量控制、动态调整模</w:t>
      </w:r>
      <w:r>
        <w:rPr>
          <w:rFonts w:hint="eastAsia" w:ascii="仿宋_GB2312" w:hAnsi="Times New Roman" w:eastAsia="仿宋_GB2312" w:cs="Times New Roman"/>
          <w:snapToGrid/>
          <w:color w:val="auto"/>
          <w:kern w:val="2"/>
          <w:sz w:val="32"/>
          <w:szCs w:val="32"/>
          <w:lang w:eastAsia="zh-CN"/>
        </w:rPr>
        <w:t>式，</w:t>
      </w:r>
      <w:r>
        <w:rPr>
          <w:rFonts w:hint="eastAsia" w:ascii="仿宋_GB2312" w:hAnsi="Times New Roman" w:eastAsia="仿宋_GB2312" w:cs="Times New Roman"/>
          <w:snapToGrid/>
          <w:color w:val="auto"/>
          <w:kern w:val="2"/>
          <w:sz w:val="32"/>
          <w:szCs w:val="32"/>
          <w:lang w:val="en-US" w:eastAsia="zh-CN"/>
        </w:rPr>
        <w:t>且不受其他烟草制品（含电子烟）零售点距离限制，</w:t>
      </w:r>
      <w:r>
        <w:rPr>
          <w:rFonts w:hint="eastAsia" w:ascii="仿宋_GB2312" w:hAnsi="Times New Roman" w:eastAsia="仿宋_GB2312" w:cs="Times New Roman"/>
          <w:snapToGrid/>
          <w:color w:val="auto"/>
          <w:kern w:val="2"/>
          <w:sz w:val="32"/>
          <w:szCs w:val="32"/>
          <w:lang w:eastAsia="zh-CN"/>
        </w:rPr>
        <w:t>规划数详见</w:t>
      </w:r>
      <w:r>
        <w:rPr>
          <w:rFonts w:hint="eastAsia" w:ascii="仿宋_GB2312" w:hAnsi="Times New Roman" w:eastAsia="仿宋_GB2312" w:cs="Times New Roman"/>
          <w:snapToGrid/>
          <w:kern w:val="2"/>
          <w:sz w:val="32"/>
          <w:szCs w:val="32"/>
          <w:lang w:eastAsia="zh-CN"/>
        </w:rPr>
        <w:t>《云南省新平彝族傣族自治县雪茄烟专营零售点合理布局公示表》（</w:t>
      </w:r>
      <w:r>
        <w:rPr>
          <w:rFonts w:hint="eastAsia" w:ascii="仿宋_GB2312" w:hAnsi="Times New Roman" w:eastAsia="仿宋_GB2312" w:cs="Times New Roman"/>
          <w:snapToGrid/>
          <w:kern w:val="2"/>
          <w:sz w:val="32"/>
          <w:szCs w:val="32"/>
          <w:lang w:val="en-US" w:eastAsia="zh-CN"/>
        </w:rPr>
        <w:t>附件4</w:t>
      </w:r>
      <w:r>
        <w:rPr>
          <w:rFonts w:hint="eastAsia" w:ascii="仿宋_GB2312" w:hAnsi="Times New Roman" w:eastAsia="仿宋_GB2312" w:cs="Times New Roman"/>
          <w:snapToGrid/>
          <w:kern w:val="2"/>
          <w:sz w:val="32"/>
          <w:szCs w:val="32"/>
          <w:lang w:eastAsia="zh-CN"/>
        </w:rPr>
        <w:t>）。</w:t>
      </w:r>
    </w:p>
    <w:p w14:paraId="74A7F351">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right="0" w:rightChars="0" w:firstLine="660" w:firstLineChars="200"/>
        <w:jc w:val="left"/>
        <w:textAlignment w:val="baseline"/>
        <w:rPr>
          <w:rFonts w:hint="eastAsia" w:ascii="黑体" w:hAnsi="黑体" w:eastAsia="黑体" w:cs="黑体"/>
          <w:snapToGrid w:val="0"/>
          <w:color w:val="000000"/>
          <w:spacing w:val="3"/>
          <w:kern w:val="0"/>
          <w:sz w:val="32"/>
          <w:szCs w:val="32"/>
          <w:lang w:val="en-US" w:eastAsia="zh-CN" w:bidi="ar-SA"/>
        </w:rPr>
      </w:pPr>
      <w:r>
        <w:rPr>
          <w:rFonts w:hint="eastAsia" w:ascii="黑体" w:hAnsi="黑体" w:eastAsia="黑体" w:cs="黑体"/>
          <w:spacing w:val="5"/>
          <w:sz w:val="32"/>
          <w:szCs w:val="32"/>
          <w:lang w:val="en-US" w:eastAsia="zh-CN"/>
        </w:rPr>
        <w:t>第十六条</w:t>
      </w:r>
      <w:r>
        <w:rPr>
          <w:rFonts w:hint="eastAsia" w:ascii="方正仿宋_GB2312" w:hAnsi="方正仿宋_GB2312" w:eastAsia="方正仿宋_GB2312" w:cs="方正仿宋_GB2312"/>
          <w:color w:val="FF0000"/>
          <w:sz w:val="32"/>
          <w:szCs w:val="32"/>
          <w:lang w:val="en-US" w:eastAsia="zh-CN"/>
        </w:rPr>
        <w:t xml:space="preserve"> </w:t>
      </w:r>
      <w:r>
        <w:rPr>
          <w:rFonts w:hint="eastAsia" w:ascii="仿宋_GB2312" w:hAnsi="Times New Roman" w:eastAsia="仿宋_GB2312" w:cs="Times New Roman"/>
          <w:snapToGrid/>
          <w:kern w:val="2"/>
          <w:sz w:val="32"/>
          <w:szCs w:val="32"/>
          <w:lang w:eastAsia="zh-CN"/>
        </w:rPr>
        <w:t>取得雪茄烟本店零售许可的经营主体如需变更许可范围的，必须满足本规划</w:t>
      </w:r>
      <w:r>
        <w:rPr>
          <w:rFonts w:hint="eastAsia" w:ascii="仿宋_GB2312" w:hAnsi="Times New Roman" w:eastAsia="仿宋_GB2312" w:cs="Times New Roman"/>
          <w:snapToGrid/>
          <w:kern w:val="2"/>
          <w:sz w:val="32"/>
          <w:szCs w:val="32"/>
          <w:lang w:val="en-US" w:eastAsia="zh-CN"/>
        </w:rPr>
        <w:t>及《云南省电子烟零售点布局规划》</w:t>
      </w:r>
      <w:r>
        <w:rPr>
          <w:rFonts w:hint="eastAsia" w:ascii="仿宋_GB2312" w:hAnsi="Times New Roman" w:eastAsia="仿宋_GB2312" w:cs="Times New Roman"/>
          <w:snapToGrid/>
          <w:kern w:val="2"/>
          <w:sz w:val="32"/>
          <w:szCs w:val="32"/>
          <w:lang w:eastAsia="zh-CN"/>
        </w:rPr>
        <w:t>相关条件并按照有关规定办理。</w:t>
      </w:r>
    </w:p>
    <w:p w14:paraId="7E217882">
      <w:pPr>
        <w:pStyle w:val="7"/>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0" w:line="360" w:lineRule="auto"/>
        <w:ind w:leftChars="0"/>
        <w:jc w:val="center"/>
        <w:textAlignment w:val="baseline"/>
        <w:rPr>
          <w:rFonts w:ascii="黑体" w:hAnsi="黑体" w:eastAsia="黑体" w:cs="黑体"/>
          <w:spacing w:val="5"/>
          <w:sz w:val="32"/>
          <w:szCs w:val="32"/>
        </w:rPr>
      </w:pPr>
      <w:r>
        <w:rPr>
          <w:rFonts w:hint="eastAsia" w:ascii="黑体" w:hAnsi="黑体" w:eastAsia="黑体" w:cs="黑体"/>
          <w:snapToGrid w:val="0"/>
          <w:color w:val="000000"/>
          <w:spacing w:val="3"/>
          <w:kern w:val="0"/>
          <w:sz w:val="32"/>
          <w:szCs w:val="32"/>
          <w:lang w:val="en-US" w:eastAsia="zh-CN" w:bidi="ar-SA"/>
        </w:rPr>
        <w:t>第四章 放宽及限制情形</w:t>
      </w:r>
    </w:p>
    <w:p w14:paraId="122EA179">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第十</w:t>
      </w:r>
      <w:r>
        <w:rPr>
          <w:rFonts w:hint="eastAsia" w:ascii="黑体" w:hAnsi="黑体" w:eastAsia="黑体" w:cs="黑体"/>
          <w:spacing w:val="5"/>
          <w:sz w:val="32"/>
          <w:szCs w:val="32"/>
          <w:lang w:val="en-US" w:eastAsia="zh-CN"/>
        </w:rPr>
        <w:t>七</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具有下列情形之一的，不予发放烟草专卖零售许可证：</w:t>
      </w:r>
    </w:p>
    <w:p w14:paraId="3174EEF6">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（一）申请人为无民事行为能力人或者限制民事行为能力人的</w:t>
      </w:r>
      <w:r>
        <w:rPr>
          <w:rFonts w:hint="eastAsia" w:ascii="仿宋_GB2312" w:hAnsi="Times New Roman" w:eastAsia="仿宋_GB2312" w:cs="Times New Roman"/>
          <w:snapToGrid/>
          <w:kern w:val="2"/>
          <w:sz w:val="32"/>
          <w:szCs w:val="32"/>
          <w:lang w:eastAsia="zh-Hans"/>
        </w:rPr>
        <w:t>；</w:t>
      </w:r>
    </w:p>
    <w:p w14:paraId="6E931DEA">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（二）申请人隐瞒有关情况或提供虚假材料的；因隐瞒有关情况或者提供虚假材料，烟草专卖局作出不予受理或者不予发证决定后，申请人一年内再次提出申请的</w:t>
      </w:r>
      <w:r>
        <w:rPr>
          <w:rFonts w:hint="eastAsia" w:ascii="仿宋_GB2312" w:hAnsi="Times New Roman" w:eastAsia="仿宋_GB2312" w:cs="Times New Roman"/>
          <w:snapToGrid/>
          <w:kern w:val="2"/>
          <w:sz w:val="32"/>
          <w:szCs w:val="32"/>
          <w:lang w:eastAsia="zh-Hans"/>
        </w:rPr>
        <w:t>；</w:t>
      </w:r>
    </w:p>
    <w:p w14:paraId="73E36CB5">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r>
        <w:rPr>
          <w:rFonts w:hint="eastAsia" w:ascii="仿宋_GB2312" w:hAnsi="Times New Roman" w:eastAsia="仿宋_GB2312" w:cs="Times New Roman"/>
          <w:snapToGrid/>
          <w:kern w:val="2"/>
          <w:sz w:val="32"/>
          <w:szCs w:val="32"/>
          <w:lang w:eastAsia="zh-Hans"/>
        </w:rPr>
        <w:t>；</w:t>
      </w:r>
    </w:p>
    <w:p w14:paraId="013AED24">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（四）外商投资的商业企业或者个体工商户，但有外资成分以提供住宿、餐饮、休闲、娱乐为主要经营的宾馆、酒店等属于娱乐服务类的企业除外</w:t>
      </w:r>
      <w:r>
        <w:rPr>
          <w:rFonts w:hint="eastAsia" w:ascii="仿宋_GB2312" w:hAnsi="Times New Roman" w:eastAsia="仿宋_GB2312" w:cs="Times New Roman"/>
          <w:snapToGrid/>
          <w:kern w:val="2"/>
          <w:sz w:val="32"/>
          <w:szCs w:val="32"/>
          <w:lang w:eastAsia="zh-Hans"/>
        </w:rPr>
        <w:t>；</w:t>
      </w:r>
    </w:p>
    <w:p w14:paraId="732F8967">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（五）无固定经营场所的：包括但不限于流动的摊、点、车、棚、简易板房、活动板房、临时占道的建筑等；</w:t>
      </w:r>
    </w:p>
    <w:p w14:paraId="1248FB58">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（六）经营场所与住所不相独立的：包括但不限于经营场所为与住所可连通通行的客厅、餐厅、卧室、阳台、地下室、车库、储藏室等或居民楼内公用通道、楼梯间等；</w:t>
      </w:r>
    </w:p>
    <w:p w14:paraId="6CD86FF8">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（七）经营场所已经办理了仍在有效期内的烟草专卖零售许可证的</w:t>
      </w:r>
      <w:r>
        <w:rPr>
          <w:rFonts w:hint="eastAsia" w:ascii="仿宋_GB2312" w:hAnsi="Times New Roman" w:eastAsia="仿宋_GB2312" w:cs="Times New Roman"/>
          <w:snapToGrid/>
          <w:kern w:val="2"/>
          <w:sz w:val="32"/>
          <w:szCs w:val="32"/>
          <w:lang w:eastAsia="zh-Hans"/>
        </w:rPr>
        <w:t>；</w:t>
      </w:r>
      <w:r>
        <w:rPr>
          <w:rFonts w:hint="eastAsia" w:ascii="仿宋_GB2312" w:hAnsi="Times New Roman" w:eastAsia="仿宋_GB2312" w:cs="Times New Roman"/>
          <w:snapToGrid/>
          <w:kern w:val="2"/>
          <w:sz w:val="32"/>
          <w:szCs w:val="32"/>
          <w:lang w:eastAsia="zh-CN"/>
        </w:rPr>
        <w:t>经营场所位于党政机关内部的</w:t>
      </w:r>
      <w:r>
        <w:rPr>
          <w:rFonts w:hint="eastAsia" w:ascii="仿宋_GB2312" w:hAnsi="Times New Roman" w:eastAsia="仿宋_GB2312" w:cs="Times New Roman"/>
          <w:snapToGrid/>
          <w:kern w:val="2"/>
          <w:sz w:val="32"/>
          <w:szCs w:val="32"/>
          <w:lang w:eastAsia="zh-Hans"/>
        </w:rPr>
        <w:t>；</w:t>
      </w:r>
      <w:r>
        <w:rPr>
          <w:rFonts w:hint="eastAsia" w:ascii="仿宋_GB2312" w:hAnsi="Times New Roman" w:eastAsia="仿宋_GB2312" w:cs="Times New Roman"/>
          <w:snapToGrid/>
          <w:kern w:val="2"/>
          <w:sz w:val="32"/>
          <w:szCs w:val="32"/>
          <w:lang w:eastAsia="zh-CN"/>
        </w:rPr>
        <w:t>经营场所基于安全因素不适宜经营卷烟的；</w:t>
      </w:r>
    </w:p>
    <w:p w14:paraId="4401B4D9">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（八）城区区域中小学校、幼儿园学生正常出入的校门口（含通道）</w:t>
      </w:r>
      <w:r>
        <w:rPr>
          <w:rFonts w:hint="eastAsia" w:ascii="仿宋_GB2312" w:hAnsi="Times New Roman" w:eastAsia="仿宋_GB2312" w:cs="Times New Roman"/>
          <w:snapToGrid/>
          <w:kern w:val="2"/>
          <w:sz w:val="32"/>
          <w:szCs w:val="32"/>
          <w:lang w:val="en-US" w:eastAsia="zh-CN"/>
        </w:rPr>
        <w:t>80</w:t>
      </w:r>
      <w:r>
        <w:rPr>
          <w:rFonts w:hint="eastAsia" w:ascii="仿宋_GB2312" w:hAnsi="Times New Roman" w:eastAsia="仿宋_GB2312" w:cs="Times New Roman"/>
          <w:snapToGrid/>
          <w:kern w:val="2"/>
          <w:sz w:val="32"/>
          <w:szCs w:val="32"/>
          <w:lang w:eastAsia="zh-CN"/>
        </w:rPr>
        <w:t>米以内，乡镇及乡镇以下区域中小学校、幼儿园学生正常出入的校门口（含通道）</w:t>
      </w:r>
      <w:r>
        <w:rPr>
          <w:rFonts w:hint="eastAsia" w:ascii="仿宋_GB2312" w:hAnsi="Times New Roman" w:eastAsia="仿宋_GB2312" w:cs="Times New Roman"/>
          <w:snapToGrid/>
          <w:kern w:val="2"/>
          <w:sz w:val="32"/>
          <w:szCs w:val="32"/>
          <w:lang w:val="en-US" w:eastAsia="zh-CN"/>
        </w:rPr>
        <w:t>30</w:t>
      </w:r>
      <w:r>
        <w:rPr>
          <w:rFonts w:hint="eastAsia" w:ascii="仿宋_GB2312" w:hAnsi="Times New Roman" w:eastAsia="仿宋_GB2312" w:cs="Times New Roman"/>
          <w:snapToGrid/>
          <w:kern w:val="2"/>
          <w:sz w:val="32"/>
          <w:szCs w:val="32"/>
          <w:lang w:eastAsia="zh-CN"/>
        </w:rPr>
        <w:t>米以内；</w:t>
      </w:r>
    </w:p>
    <w:p w14:paraId="0BBDE708">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（九）利用自动售货机或者其他自动售货形式，销售或者变相销售烟草制品的，或者通过信息网络销售烟草专卖品的</w:t>
      </w:r>
      <w:r>
        <w:rPr>
          <w:rFonts w:hint="eastAsia" w:ascii="仿宋_GB2312" w:hAnsi="Times New Roman" w:eastAsia="仿宋_GB2312" w:cs="Times New Roman"/>
          <w:snapToGrid/>
          <w:kern w:val="2"/>
          <w:sz w:val="32"/>
          <w:szCs w:val="32"/>
          <w:lang w:eastAsia="zh-Hans"/>
        </w:rPr>
        <w:t>；</w:t>
      </w:r>
    </w:p>
    <w:p w14:paraId="1B95CE77">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（十）经营业态存在容易诱导未成年人关注、购买、吸食卷烟或其他不利于未成年人保护的；经营业态专业性较强，且与烟草制品零售业务没有直接或间接互补营销关系的；</w:t>
      </w:r>
    </w:p>
    <w:p w14:paraId="2FA5FFE0">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val="en-US" w:eastAsia="zh-CN"/>
        </w:rPr>
        <w:t>（十一）法律、法规、规</w:t>
      </w:r>
      <w:r>
        <w:rPr>
          <w:rFonts w:hint="eastAsia" w:ascii="仿宋_GB2312" w:hAnsi="Times New Roman" w:eastAsia="仿宋_GB2312" w:cs="Times New Roman"/>
          <w:snapToGrid/>
          <w:kern w:val="2"/>
          <w:sz w:val="32"/>
          <w:szCs w:val="32"/>
          <w:lang w:eastAsia="zh-CN"/>
        </w:rPr>
        <w:t>章、规范性文件等规定的其他不予许可的情形。</w:t>
      </w:r>
    </w:p>
    <w:p w14:paraId="307FB019">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val="en-US" w:eastAsia="zh-CN"/>
        </w:rPr>
      </w:pPr>
      <w:r>
        <w:rPr>
          <w:rFonts w:hint="eastAsia" w:ascii="黑体" w:hAnsi="黑体" w:eastAsia="黑体" w:cs="黑体"/>
          <w:spacing w:val="5"/>
          <w:sz w:val="32"/>
          <w:szCs w:val="32"/>
          <w:lang w:val="en-US" w:eastAsia="zh-CN"/>
        </w:rPr>
        <w:t>第十八条</w:t>
      </w:r>
      <w:r>
        <w:rPr>
          <w:rFonts w:hint="default" w:ascii="仿宋" w:hAnsi="仿宋" w:eastAsia="仿宋" w:cs="仿宋"/>
          <w:spacing w:val="5"/>
          <w:sz w:val="32"/>
          <w:szCs w:val="32"/>
          <w:lang w:eastAsia="zh-CN"/>
        </w:rPr>
        <w:t xml:space="preserve"> </w:t>
      </w:r>
      <w:r>
        <w:rPr>
          <w:rFonts w:hint="default" w:ascii="仿宋_GB2312" w:hAnsi="Times New Roman" w:eastAsia="仿宋_GB2312" w:cs="Times New Roman"/>
          <w:snapToGrid/>
          <w:kern w:val="2"/>
          <w:sz w:val="32"/>
          <w:szCs w:val="32"/>
          <w:lang w:val="en-US" w:eastAsia="zh-CN"/>
        </w:rPr>
        <w:t>优抚对象、社会弱势群体等特殊群体申请</w:t>
      </w:r>
      <w:r>
        <w:rPr>
          <w:rFonts w:hint="eastAsia" w:ascii="仿宋_GB2312" w:hAnsi="Times New Roman" w:eastAsia="仿宋_GB2312" w:cs="Times New Roman"/>
          <w:snapToGrid/>
          <w:kern w:val="2"/>
          <w:sz w:val="32"/>
          <w:szCs w:val="32"/>
          <w:lang w:val="en-US" w:eastAsia="zh-CN"/>
        </w:rPr>
        <w:t>烟草专卖</w:t>
      </w:r>
      <w:r>
        <w:rPr>
          <w:rFonts w:hint="default" w:ascii="仿宋_GB2312" w:hAnsi="Times New Roman" w:eastAsia="仿宋_GB2312" w:cs="Times New Roman"/>
          <w:snapToGrid/>
          <w:kern w:val="2"/>
          <w:sz w:val="32"/>
          <w:szCs w:val="32"/>
          <w:lang w:val="en-US" w:eastAsia="zh-CN"/>
        </w:rPr>
        <w:t>零售许可证的，受所在单元网格规划数限制，零售点间距可放宽至本单元网格间距标准的</w:t>
      </w:r>
      <w:r>
        <w:rPr>
          <w:rFonts w:hint="eastAsia" w:ascii="仿宋_GB2312" w:hAnsi="Times New Roman" w:eastAsia="仿宋_GB2312" w:cs="Times New Roman"/>
          <w:snapToGrid/>
          <w:kern w:val="2"/>
          <w:sz w:val="32"/>
          <w:szCs w:val="32"/>
          <w:lang w:val="en-US" w:eastAsia="zh-CN"/>
        </w:rPr>
        <w:t>80%</w:t>
      </w:r>
      <w:r>
        <w:rPr>
          <w:rFonts w:hint="default" w:ascii="仿宋_GB2312" w:hAnsi="Times New Roman" w:eastAsia="仿宋_GB2312" w:cs="Times New Roman"/>
          <w:snapToGrid/>
          <w:kern w:val="2"/>
          <w:sz w:val="32"/>
          <w:szCs w:val="32"/>
          <w:lang w:val="en-US" w:eastAsia="zh-CN"/>
        </w:rPr>
        <w:t>执行。本规定政策，同一特殊群体申请人在云南省内仅适用一次。</w:t>
      </w:r>
    </w:p>
    <w:p w14:paraId="1D5A0D71">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Times New Roman" w:eastAsia="仿宋_GB2312" w:cs="Times New Roman"/>
          <w:snapToGrid/>
          <w:kern w:val="2"/>
          <w:sz w:val="32"/>
          <w:szCs w:val="32"/>
          <w:lang w:val="en-US" w:eastAsia="zh-CN"/>
        </w:rPr>
        <w:t>（一）</w:t>
      </w:r>
      <w:r>
        <w:rPr>
          <w:rFonts w:hint="eastAsia" w:ascii="仿宋_GB2312" w:hAnsi="仿宋_GB2312" w:eastAsia="仿宋_GB2312" w:cs="仿宋_GB2312"/>
          <w:sz w:val="32"/>
          <w:szCs w:val="32"/>
        </w:rPr>
        <w:t>烈士家属、因公牺牲军人家属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FF0000"/>
          <w:sz w:val="32"/>
          <w:szCs w:val="32"/>
          <w:lang w:val="en-US" w:eastAsia="zh-CN"/>
        </w:rPr>
        <w:t>病故军人遗属、</w:t>
      </w:r>
      <w:r>
        <w:rPr>
          <w:rFonts w:hint="eastAsia" w:ascii="仿宋_GB2312" w:hAnsi="仿宋_GB2312" w:eastAsia="仿宋_GB2312" w:cs="仿宋_GB2312"/>
          <w:sz w:val="32"/>
          <w:szCs w:val="32"/>
        </w:rPr>
        <w:t>见义勇为牺牲人员家属。（本条中的家属包括父母、子女、配偶。）</w:t>
      </w:r>
    </w:p>
    <w:p w14:paraId="6D84EE58">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default"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（二）</w:t>
      </w:r>
      <w:r>
        <w:rPr>
          <w:rFonts w:hint="default" w:ascii="仿宋_GB2312" w:hAnsi="Times New Roman" w:eastAsia="仿宋_GB2312" w:cs="Times New Roman"/>
          <w:snapToGrid/>
          <w:kern w:val="2"/>
          <w:sz w:val="32"/>
          <w:szCs w:val="32"/>
          <w:lang w:val="en-US" w:eastAsia="zh-CN"/>
        </w:rPr>
        <w:t>符合以下条件之一，具有从事烟草专卖零售经营业务相应能力，且具有完全民事行为能力的残疾人：</w:t>
      </w:r>
    </w:p>
    <w:p w14:paraId="05D83D48">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default" w:ascii="仿宋_GB2312" w:hAnsi="Times New Roman" w:eastAsia="仿宋_GB2312" w:cs="Times New Roman"/>
          <w:snapToGrid/>
          <w:kern w:val="2"/>
          <w:sz w:val="32"/>
          <w:szCs w:val="32"/>
          <w:lang w:val="en-US" w:eastAsia="zh-CN"/>
        </w:rPr>
      </w:pPr>
      <w:r>
        <w:rPr>
          <w:rFonts w:hint="default" w:ascii="仿宋_GB2312" w:hAnsi="Times New Roman" w:eastAsia="仿宋_GB2312" w:cs="Times New Roman"/>
          <w:snapToGrid/>
          <w:kern w:val="2"/>
          <w:sz w:val="32"/>
          <w:szCs w:val="32"/>
          <w:lang w:val="en-US" w:eastAsia="zh-CN"/>
        </w:rPr>
        <w:t>视力残疾：一级、二级；</w:t>
      </w:r>
    </w:p>
    <w:p w14:paraId="06C5A474">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default" w:ascii="仿宋_GB2312" w:hAnsi="Times New Roman" w:eastAsia="仿宋_GB2312" w:cs="Times New Roman"/>
          <w:snapToGrid/>
          <w:kern w:val="2"/>
          <w:sz w:val="32"/>
          <w:szCs w:val="32"/>
          <w:lang w:val="en-US" w:eastAsia="zh-CN"/>
        </w:rPr>
      </w:pPr>
      <w:r>
        <w:rPr>
          <w:rFonts w:hint="default" w:ascii="仿宋_GB2312" w:hAnsi="Times New Roman" w:eastAsia="仿宋_GB2312" w:cs="Times New Roman"/>
          <w:snapToGrid/>
          <w:kern w:val="2"/>
          <w:sz w:val="32"/>
          <w:szCs w:val="32"/>
          <w:lang w:val="en-US" w:eastAsia="zh-CN"/>
        </w:rPr>
        <w:t>听力残疾：一级、二级；</w:t>
      </w:r>
    </w:p>
    <w:p w14:paraId="6B75CA8A">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default" w:ascii="仿宋_GB2312" w:hAnsi="Times New Roman" w:eastAsia="仿宋_GB2312" w:cs="Times New Roman"/>
          <w:snapToGrid/>
          <w:kern w:val="2"/>
          <w:sz w:val="32"/>
          <w:szCs w:val="32"/>
          <w:lang w:val="en-US" w:eastAsia="zh-CN"/>
        </w:rPr>
      </w:pPr>
      <w:r>
        <w:rPr>
          <w:rFonts w:hint="default" w:ascii="仿宋_GB2312" w:hAnsi="Times New Roman" w:eastAsia="仿宋_GB2312" w:cs="Times New Roman"/>
          <w:snapToGrid/>
          <w:kern w:val="2"/>
          <w:sz w:val="32"/>
          <w:szCs w:val="32"/>
          <w:lang w:val="en-US" w:eastAsia="zh-CN"/>
        </w:rPr>
        <w:t>言语残疾：一级、二级；</w:t>
      </w:r>
    </w:p>
    <w:p w14:paraId="2F750E53">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default" w:ascii="仿宋_GB2312" w:hAnsi="Times New Roman" w:eastAsia="仿宋_GB2312" w:cs="Times New Roman"/>
          <w:snapToGrid/>
          <w:kern w:val="2"/>
          <w:sz w:val="32"/>
          <w:szCs w:val="32"/>
          <w:lang w:val="en-US" w:eastAsia="zh-CN"/>
        </w:rPr>
      </w:pPr>
      <w:r>
        <w:rPr>
          <w:rFonts w:hint="default" w:ascii="仿宋_GB2312" w:hAnsi="Times New Roman" w:eastAsia="仿宋_GB2312" w:cs="Times New Roman"/>
          <w:snapToGrid/>
          <w:kern w:val="2"/>
          <w:sz w:val="32"/>
          <w:szCs w:val="32"/>
          <w:lang w:val="en-US" w:eastAsia="zh-CN"/>
        </w:rPr>
        <w:t>肢体残疾：一级、二级。</w:t>
      </w:r>
    </w:p>
    <w:p w14:paraId="3CA7307D">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default"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（三）</w:t>
      </w:r>
      <w:r>
        <w:rPr>
          <w:rFonts w:hint="default" w:ascii="仿宋_GB2312" w:hAnsi="Times New Roman" w:eastAsia="仿宋_GB2312" w:cs="Times New Roman"/>
          <w:snapToGrid/>
          <w:kern w:val="2"/>
          <w:sz w:val="32"/>
          <w:szCs w:val="32"/>
          <w:lang w:val="en-US" w:eastAsia="zh-CN"/>
        </w:rPr>
        <w:t>国家明文给予政策扶持，确实具有需要扶持照顾的</w:t>
      </w:r>
      <w:r>
        <w:rPr>
          <w:rFonts w:hint="eastAsia" w:ascii="仿宋_GB2312" w:hAnsi="Times New Roman" w:eastAsia="仿宋_GB2312" w:cs="Times New Roman"/>
          <w:snapToGrid/>
          <w:kern w:val="2"/>
          <w:sz w:val="32"/>
          <w:szCs w:val="32"/>
          <w:lang w:val="en-US" w:eastAsia="zh-Hans"/>
        </w:rPr>
        <w:t>其</w:t>
      </w:r>
      <w:r>
        <w:rPr>
          <w:rFonts w:hint="default" w:ascii="仿宋_GB2312" w:hAnsi="Times New Roman" w:eastAsia="仿宋_GB2312" w:cs="Times New Roman"/>
          <w:snapToGrid/>
          <w:kern w:val="2"/>
          <w:sz w:val="32"/>
          <w:szCs w:val="32"/>
          <w:lang w:val="en-US" w:eastAsia="zh-CN"/>
        </w:rPr>
        <w:t>他特殊情况的优抚对象，经属地烟草专卖局集体研究并向上级烟草专卖局报备，可以放宽办证条件。</w:t>
      </w:r>
    </w:p>
    <w:p w14:paraId="73AE71A1">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val="en-US" w:eastAsia="zh-CN"/>
        </w:rPr>
      </w:pPr>
      <w:r>
        <w:rPr>
          <w:rFonts w:hint="default" w:ascii="仿宋_GB2312" w:hAnsi="Times New Roman" w:eastAsia="仿宋_GB2312" w:cs="Times New Roman"/>
          <w:snapToGrid/>
          <w:kern w:val="2"/>
          <w:sz w:val="32"/>
          <w:szCs w:val="32"/>
          <w:lang w:val="en-US" w:eastAsia="zh-CN"/>
        </w:rPr>
        <w:t>申请人应提交合法有效的证明文件。</w:t>
      </w:r>
    </w:p>
    <w:p w14:paraId="5AA5A2A4">
      <w:pPr>
        <w:keepNext w:val="0"/>
        <w:keepLines w:val="0"/>
        <w:pageBreakBefore w:val="0"/>
        <w:widowControl w:val="0"/>
        <w:kinsoku/>
        <w:wordWrap/>
        <w:overflowPunct/>
        <w:topLinePunct w:val="0"/>
        <w:autoSpaceDE/>
        <w:autoSpaceDN/>
        <w:bidi w:val="0"/>
        <w:adjustRightInd w:val="0"/>
        <w:snapToGrid/>
        <w:spacing w:line="336" w:lineRule="auto"/>
        <w:ind w:firstLine="660" w:firstLineChars="200"/>
        <w:jc w:val="both"/>
        <w:textAlignment w:val="auto"/>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第十</w:t>
      </w:r>
      <w:r>
        <w:rPr>
          <w:rFonts w:hint="eastAsia" w:ascii="黑体" w:hAnsi="黑体" w:eastAsia="黑体" w:cs="黑体"/>
          <w:spacing w:val="5"/>
          <w:sz w:val="32"/>
          <w:szCs w:val="32"/>
          <w:lang w:val="en-US" w:eastAsia="zh-CN"/>
        </w:rPr>
        <w:t>九</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因道路规划、城市建设等客观原因，造成持证人无法在原核定地址经营之日起三十日内，持证人申请变更到本单元网格内新址经营的，不受所在单元网格规划数限制，零售点间距可放宽至本单元网格间距标准的40%执行。</w:t>
      </w:r>
    </w:p>
    <w:p w14:paraId="21029182">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申请变更到本县其他单元网格的，受所在单元网格规划数限制，零售点间距可放宽至本单元网格间距标准的80%执行。</w:t>
      </w:r>
    </w:p>
    <w:p w14:paraId="37E71DD0">
      <w:pPr>
        <w:keepNext w:val="0"/>
        <w:keepLines w:val="0"/>
        <w:pageBreakBefore w:val="0"/>
        <w:widowControl w:val="0"/>
        <w:kinsoku/>
        <w:wordWrap/>
        <w:overflowPunct/>
        <w:topLinePunct w:val="0"/>
        <w:autoSpaceDE/>
        <w:autoSpaceDN/>
        <w:bidi w:val="0"/>
        <w:adjustRightInd w:val="0"/>
        <w:snapToGrid/>
        <w:spacing w:line="336" w:lineRule="auto"/>
        <w:ind w:firstLine="660" w:firstLineChars="200"/>
        <w:jc w:val="both"/>
        <w:textAlignment w:val="auto"/>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val="en-US" w:eastAsia="zh-CN"/>
        </w:rPr>
        <w:t>二十</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因中小学校及幼儿园新建、改扩建等客观原因，造成持证人无法在原核定地址经营之日起三十日内，持证人申请歇业并在原单元网格内新址申请新办的，不受所在单元网格规划数限制，零售点间距可放宽至本单元网格间距标准的40%执行。</w:t>
      </w:r>
    </w:p>
    <w:p w14:paraId="49806877">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在本县其他单元网格申请新办的，受所在单元网格规划数限制</w:t>
      </w:r>
      <w:r>
        <w:rPr>
          <w:rFonts w:hint="eastAsia" w:ascii="仿宋_GB2312" w:hAnsi="Times New Roman" w:eastAsia="仿宋_GB2312" w:cs="Times New Roman"/>
          <w:snapToGrid/>
          <w:kern w:val="2"/>
          <w:sz w:val="32"/>
          <w:szCs w:val="32"/>
          <w:lang w:eastAsia="zh-Hans"/>
        </w:rPr>
        <w:t>，</w:t>
      </w:r>
      <w:r>
        <w:rPr>
          <w:rFonts w:hint="eastAsia" w:ascii="仿宋_GB2312" w:hAnsi="Times New Roman" w:eastAsia="仿宋_GB2312" w:cs="Times New Roman"/>
          <w:snapToGrid/>
          <w:kern w:val="2"/>
          <w:sz w:val="32"/>
          <w:szCs w:val="32"/>
          <w:lang w:eastAsia="zh-CN"/>
        </w:rPr>
        <w:t>间距标准可放宽至本单元网格间距标准的80%执行。</w:t>
      </w:r>
    </w:p>
    <w:p w14:paraId="75DA25BC">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ascii="仿宋_GB2312" w:hAnsi="仿宋_GB2312" w:eastAsia="仿宋_GB2312" w:cs="仿宋_GB2312"/>
          <w:color w:val="FF0000"/>
          <w:spacing w:val="10"/>
          <w:sz w:val="32"/>
          <w:szCs w:val="32"/>
          <w:highlight w:val="none"/>
        </w:rPr>
      </w:pPr>
      <w:r>
        <w:rPr>
          <w:rFonts w:hint="eastAsia" w:ascii="黑体" w:hAnsi="黑体" w:eastAsia="黑体" w:cs="黑体"/>
          <w:color w:val="FF0000"/>
          <w:spacing w:val="10"/>
          <w:sz w:val="32"/>
          <w:szCs w:val="32"/>
        </w:rPr>
        <w:t>第</w:t>
      </w:r>
      <w:r>
        <w:rPr>
          <w:rFonts w:hint="eastAsia" w:ascii="黑体" w:hAnsi="黑体" w:eastAsia="黑体" w:cs="黑体"/>
          <w:color w:val="FF0000"/>
          <w:spacing w:val="10"/>
          <w:sz w:val="32"/>
          <w:szCs w:val="32"/>
          <w:lang w:val="en-US" w:eastAsia="zh-CN"/>
        </w:rPr>
        <w:t>二十一</w:t>
      </w:r>
      <w:r>
        <w:rPr>
          <w:rFonts w:hint="eastAsia" w:ascii="黑体" w:hAnsi="黑体" w:eastAsia="黑体" w:cs="黑体"/>
          <w:color w:val="FF0000"/>
          <w:spacing w:val="10"/>
          <w:sz w:val="32"/>
          <w:szCs w:val="32"/>
        </w:rPr>
        <w:t>条</w:t>
      </w:r>
      <w:r>
        <w:rPr>
          <w:rFonts w:hint="eastAsia" w:eastAsia="仿宋_GB2312"/>
          <w:b/>
          <w:bCs/>
          <w:color w:val="FF0000"/>
          <w:spacing w:val="10"/>
          <w:sz w:val="32"/>
          <w:szCs w:val="32"/>
        </w:rPr>
        <w:t xml:space="preserve"> </w:t>
      </w:r>
      <w:r>
        <w:rPr>
          <w:rFonts w:hint="eastAsia" w:eastAsia="仿宋_GB2312"/>
          <w:color w:val="FF0000"/>
          <w:spacing w:val="10"/>
          <w:sz w:val="32"/>
          <w:szCs w:val="32"/>
          <w:lang w:val="en-US" w:eastAsia="zh-CN"/>
        </w:rPr>
        <w:t>在本县辖区范围内</w:t>
      </w:r>
      <w:r>
        <w:rPr>
          <w:rFonts w:hint="eastAsia" w:ascii="仿宋_GB2312" w:hAnsi="仿宋_GB2312" w:eastAsia="仿宋_GB2312" w:cs="仿宋_GB2312"/>
          <w:color w:val="FF0000"/>
          <w:spacing w:val="10"/>
          <w:sz w:val="32"/>
          <w:szCs w:val="32"/>
        </w:rPr>
        <w:t>连续经营5年以上，且最近连续3年无涉烟违法违规记录的持证户，因租金上涨、租赁期满等客观原因不能在原核定地址经营，经营主体未发生改变，在办理许可证歇业后6个月内，持证人申请在原单元网格新址上新办零售许可证的，不受所在单元网格规划数限制，</w:t>
      </w:r>
      <w:r>
        <w:rPr>
          <w:rFonts w:hint="eastAsia" w:ascii="仿宋_GB2312" w:hAnsi="仿宋_GB2312" w:eastAsia="仿宋_GB2312" w:cs="仿宋_GB2312"/>
          <w:color w:val="FF0000"/>
          <w:spacing w:val="10"/>
          <w:sz w:val="32"/>
          <w:szCs w:val="32"/>
          <w:highlight w:val="none"/>
        </w:rPr>
        <w:t>零售点间距可放宽至本单元网格间距标准的</w:t>
      </w:r>
      <w:r>
        <w:rPr>
          <w:rFonts w:hint="eastAsia" w:ascii="仿宋_GB2312" w:hAnsi="仿宋_GB2312" w:eastAsia="仿宋_GB2312" w:cs="仿宋_GB2312"/>
          <w:color w:val="FF0000"/>
          <w:spacing w:val="10"/>
          <w:sz w:val="32"/>
          <w:szCs w:val="32"/>
          <w:highlight w:val="none"/>
          <w:lang w:val="en-US" w:eastAsia="zh-CN"/>
        </w:rPr>
        <w:t>90</w:t>
      </w:r>
      <w:r>
        <w:rPr>
          <w:rFonts w:hint="eastAsia" w:ascii="仿宋_GB2312" w:hAnsi="仿宋_GB2312" w:eastAsia="仿宋_GB2312" w:cs="仿宋_GB2312"/>
          <w:color w:val="FF0000"/>
          <w:spacing w:val="10"/>
          <w:sz w:val="32"/>
          <w:szCs w:val="32"/>
          <w:highlight w:val="none"/>
        </w:rPr>
        <w:t>%执行。</w:t>
      </w:r>
    </w:p>
    <w:p w14:paraId="691B571F">
      <w:pPr>
        <w:pStyle w:val="2"/>
        <w:rPr>
          <w:rFonts w:hint="eastAsia"/>
          <w:lang w:eastAsia="zh-CN"/>
        </w:rPr>
      </w:pPr>
    </w:p>
    <w:p w14:paraId="20F4545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0" w:rightChars="0"/>
        <w:jc w:val="center"/>
        <w:textAlignment w:val="baseline"/>
        <w:outlineLvl w:val="9"/>
        <w:rPr>
          <w:sz w:val="32"/>
          <w:szCs w:val="32"/>
        </w:rPr>
      </w:pPr>
      <w:r>
        <w:rPr>
          <w:rFonts w:hint="eastAsia" w:ascii="黑体" w:hAnsi="黑体" w:eastAsia="黑体" w:cs="黑体"/>
          <w:spacing w:val="3"/>
          <w:sz w:val="32"/>
          <w:szCs w:val="32"/>
          <w:lang w:eastAsia="zh-CN"/>
        </w:rPr>
        <w:t>第五章</w:t>
      </w:r>
      <w:r>
        <w:rPr>
          <w:rFonts w:hint="eastAsia" w:ascii="黑体" w:hAnsi="黑体" w:eastAsia="黑体" w:cs="黑体"/>
          <w:spacing w:val="3"/>
          <w:sz w:val="32"/>
          <w:szCs w:val="32"/>
          <w:lang w:val="en-US" w:eastAsia="zh-CN"/>
        </w:rPr>
        <w:t xml:space="preserve">  </w:t>
      </w:r>
      <w:r>
        <w:rPr>
          <w:rFonts w:ascii="黑体" w:hAnsi="黑体" w:eastAsia="黑体" w:cs="黑体"/>
          <w:spacing w:val="3"/>
          <w:sz w:val="32"/>
          <w:szCs w:val="32"/>
        </w:rPr>
        <w:t>附</w:t>
      </w:r>
      <w:r>
        <w:rPr>
          <w:rFonts w:hint="eastAsia" w:ascii="黑体" w:hAnsi="黑体" w:eastAsia="黑体" w:cs="黑体"/>
          <w:spacing w:val="3"/>
          <w:sz w:val="32"/>
          <w:szCs w:val="32"/>
          <w:lang w:val="en-US" w:eastAsia="zh-CN"/>
        </w:rPr>
        <w:t xml:space="preserve">  </w:t>
      </w:r>
      <w:r>
        <w:rPr>
          <w:rFonts w:ascii="黑体" w:hAnsi="黑体" w:eastAsia="黑体" w:cs="黑体"/>
          <w:spacing w:val="3"/>
          <w:sz w:val="32"/>
          <w:szCs w:val="32"/>
        </w:rPr>
        <w:t>则</w:t>
      </w:r>
    </w:p>
    <w:p w14:paraId="0F23BC66">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ascii="仿宋" w:hAnsi="仿宋" w:eastAsia="仿宋" w:cs="仿宋"/>
          <w:spacing w:val="5"/>
          <w:sz w:val="32"/>
          <w:szCs w:val="32"/>
        </w:rPr>
      </w:pPr>
      <w:r>
        <w:rPr>
          <w:rFonts w:ascii="黑体" w:hAnsi="黑体" w:eastAsia="黑体" w:cs="黑体"/>
          <w:spacing w:val="5"/>
          <w:sz w:val="32"/>
          <w:szCs w:val="32"/>
        </w:rPr>
        <w:t>第</w:t>
      </w:r>
      <w:r>
        <w:rPr>
          <w:rFonts w:hint="eastAsia" w:ascii="黑体" w:hAnsi="黑体" w:eastAsia="黑体" w:cs="黑体"/>
          <w:spacing w:val="5"/>
          <w:sz w:val="32"/>
          <w:szCs w:val="32"/>
          <w:lang w:val="en-US" w:eastAsia="zh-CN"/>
        </w:rPr>
        <w:t>二十二</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本规划实施后，如遇相关法律、法规、规章及规范性文件调整的，根据最新规定进行调整，及时报当地本级人民政府法制部门备案后公布实施。</w:t>
      </w:r>
    </w:p>
    <w:p w14:paraId="394EEA2B">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二十</w:t>
      </w:r>
      <w:r>
        <w:rPr>
          <w:rFonts w:hint="eastAsia" w:ascii="黑体" w:hAnsi="黑体" w:eastAsia="黑体" w:cs="黑体"/>
          <w:spacing w:val="5"/>
          <w:sz w:val="32"/>
          <w:szCs w:val="32"/>
          <w:lang w:val="en-US" w:eastAsia="zh-CN"/>
        </w:rPr>
        <w:t>三</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本县零售点合理布局实行定期评价、动态管理。每季度根据本地经济发展、城乡建设、市场形势等变化情况进行调整并公示后实施。</w:t>
      </w:r>
      <w:r>
        <w:rPr>
          <w:rFonts w:hint="eastAsia" w:ascii="仿宋_GB2312" w:hAnsi="Times New Roman" w:eastAsia="仿宋_GB2312" w:cs="Times New Roman"/>
          <w:snapToGrid/>
          <w:kern w:val="2"/>
          <w:sz w:val="32"/>
          <w:szCs w:val="32"/>
          <w:lang w:val="en-US" w:eastAsia="zh-CN"/>
        </w:rPr>
        <w:t>动态调整规则详见《云南省新平彝族傣族自治县烟草制品零售点合理布局规划数动态调整管理制度》（附件5）。</w:t>
      </w:r>
    </w:p>
    <w:p w14:paraId="5741DE9C">
      <w:pPr>
        <w:keepNext w:val="0"/>
        <w:keepLines w:val="0"/>
        <w:pageBreakBefore w:val="0"/>
        <w:widowControl w:val="0"/>
        <w:kinsoku/>
        <w:wordWrap/>
        <w:overflowPunct/>
        <w:topLinePunct w:val="0"/>
        <w:autoSpaceDE/>
        <w:autoSpaceDN/>
        <w:bidi w:val="0"/>
        <w:adjustRightInd w:val="0"/>
        <w:snapToGrid/>
        <w:spacing w:line="336" w:lineRule="auto"/>
        <w:ind w:firstLine="660" w:firstLineChars="200"/>
        <w:jc w:val="both"/>
        <w:textAlignment w:val="auto"/>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二十</w:t>
      </w:r>
      <w:r>
        <w:rPr>
          <w:rFonts w:hint="eastAsia" w:ascii="黑体" w:hAnsi="黑体" w:eastAsia="黑体" w:cs="黑体"/>
          <w:spacing w:val="5"/>
          <w:sz w:val="32"/>
          <w:szCs w:val="32"/>
          <w:lang w:val="en-US" w:eastAsia="zh-CN"/>
        </w:rPr>
        <w:t>四</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对暂不符合本布局规划条件的申请人，实行排队轮候制度。排队轮候制度详见《</w:t>
      </w:r>
      <w:r>
        <w:rPr>
          <w:rFonts w:hint="eastAsia" w:ascii="仿宋_GB2312" w:hAnsi="Times New Roman" w:eastAsia="仿宋_GB2312" w:cs="Times New Roman"/>
          <w:snapToGrid/>
          <w:kern w:val="2"/>
          <w:sz w:val="32"/>
          <w:szCs w:val="32"/>
          <w:lang w:val="en-US" w:eastAsia="zh-Hans"/>
        </w:rPr>
        <w:t>云南省新平彝族傣族自治县</w:t>
      </w:r>
      <w:r>
        <w:rPr>
          <w:rFonts w:hint="eastAsia" w:ascii="仿宋_GB2312" w:hAnsi="Times New Roman" w:eastAsia="仿宋_GB2312" w:cs="Times New Roman"/>
          <w:snapToGrid/>
          <w:kern w:val="2"/>
          <w:sz w:val="32"/>
          <w:szCs w:val="32"/>
          <w:lang w:eastAsia="zh-CN"/>
        </w:rPr>
        <w:t>烟草制品零售点排队轮候制度》（附件</w:t>
      </w:r>
      <w:r>
        <w:rPr>
          <w:rFonts w:hint="eastAsia" w:ascii="仿宋_GB2312" w:hAnsi="Times New Roman" w:eastAsia="仿宋_GB2312" w:cs="Times New Roman"/>
          <w:snapToGrid/>
          <w:kern w:val="2"/>
          <w:sz w:val="32"/>
          <w:szCs w:val="32"/>
          <w:lang w:val="en-US" w:eastAsia="zh-CN"/>
        </w:rPr>
        <w:t>6</w:t>
      </w:r>
      <w:r>
        <w:rPr>
          <w:rFonts w:hint="eastAsia" w:ascii="仿宋_GB2312" w:hAnsi="Times New Roman" w:eastAsia="仿宋_GB2312" w:cs="Times New Roman"/>
          <w:snapToGrid/>
          <w:kern w:val="2"/>
          <w:sz w:val="32"/>
          <w:szCs w:val="32"/>
          <w:lang w:eastAsia="zh-CN"/>
        </w:rPr>
        <w:t>）。</w:t>
      </w:r>
    </w:p>
    <w:p w14:paraId="422F4D0E">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符合第十九条、第二十条情形且不受单元网格规划数限制的，申请人不实行排队轮候制度。</w:t>
      </w:r>
    </w:p>
    <w:p w14:paraId="613CE46C">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二十</w:t>
      </w:r>
      <w:r>
        <w:rPr>
          <w:rFonts w:hint="eastAsia" w:ascii="黑体" w:hAnsi="黑体" w:eastAsia="黑体" w:cs="黑体"/>
          <w:spacing w:val="5"/>
          <w:sz w:val="32"/>
          <w:szCs w:val="32"/>
          <w:lang w:val="en-US" w:eastAsia="zh-CN"/>
        </w:rPr>
        <w:t>五</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3FEE9417">
      <w:pPr>
        <w:keepNext w:val="0"/>
        <w:keepLines w:val="0"/>
        <w:pageBreakBefore w:val="0"/>
        <w:widowControl w:val="0"/>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二十</w:t>
      </w:r>
      <w:r>
        <w:rPr>
          <w:rFonts w:hint="eastAsia" w:ascii="黑体" w:hAnsi="黑体" w:eastAsia="黑体" w:cs="黑体"/>
          <w:spacing w:val="5"/>
          <w:sz w:val="32"/>
          <w:szCs w:val="32"/>
          <w:lang w:val="en-US" w:eastAsia="zh-CN"/>
        </w:rPr>
        <w:t>六</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本规划中“以上”“不低于”“不超过”“以内”等，如无特殊说明均包括本数。</w:t>
      </w:r>
    </w:p>
    <w:p w14:paraId="4CEE0C15">
      <w:pPr>
        <w:keepNext w:val="0"/>
        <w:keepLines w:val="0"/>
        <w:pageBreakBefore w:val="0"/>
        <w:widowControl w:val="0"/>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eastAsia="zh-CN"/>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二十</w:t>
      </w:r>
      <w:r>
        <w:rPr>
          <w:rFonts w:hint="eastAsia" w:ascii="黑体" w:hAnsi="黑体" w:eastAsia="黑体" w:cs="黑体"/>
          <w:spacing w:val="5"/>
          <w:sz w:val="32"/>
          <w:szCs w:val="32"/>
          <w:lang w:val="en-US" w:eastAsia="zh-CN"/>
        </w:rPr>
        <w:t>七</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eastAsia="zh-CN"/>
        </w:rPr>
        <w:t>本规划中按照年、月、日计算期间的，开始的当日不计入，自下一日开始计算。</w:t>
      </w:r>
    </w:p>
    <w:p w14:paraId="5C123E41">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kern w:val="2"/>
          <w:sz w:val="32"/>
          <w:szCs w:val="32"/>
          <w:lang w:val="en-US" w:eastAsia="zh-Hans"/>
        </w:rPr>
      </w:pPr>
      <w:r>
        <w:rPr>
          <w:rFonts w:ascii="黑体" w:hAnsi="黑体" w:eastAsia="黑体" w:cs="黑体"/>
          <w:spacing w:val="5"/>
          <w:sz w:val="32"/>
          <w:szCs w:val="32"/>
        </w:rPr>
        <w:t>第</w:t>
      </w:r>
      <w:r>
        <w:rPr>
          <w:rFonts w:hint="eastAsia" w:ascii="黑体" w:hAnsi="黑体" w:eastAsia="黑体" w:cs="黑体"/>
          <w:spacing w:val="5"/>
          <w:sz w:val="32"/>
          <w:szCs w:val="32"/>
          <w:lang w:eastAsia="zh-CN"/>
        </w:rPr>
        <w:t>二十</w:t>
      </w:r>
      <w:r>
        <w:rPr>
          <w:rFonts w:hint="eastAsia" w:ascii="黑体" w:hAnsi="黑体" w:eastAsia="黑体" w:cs="黑体"/>
          <w:spacing w:val="5"/>
          <w:sz w:val="32"/>
          <w:szCs w:val="32"/>
          <w:lang w:val="en-US" w:eastAsia="zh-CN"/>
        </w:rPr>
        <w:t>八</w:t>
      </w:r>
      <w:r>
        <w:rPr>
          <w:rFonts w:ascii="黑体" w:hAnsi="黑体" w:eastAsia="黑体" w:cs="黑体"/>
          <w:spacing w:val="5"/>
          <w:sz w:val="32"/>
          <w:szCs w:val="32"/>
        </w:rPr>
        <w:t>条</w:t>
      </w:r>
      <w:r>
        <w:rPr>
          <w:rFonts w:ascii="仿宋" w:hAnsi="仿宋" w:eastAsia="仿宋" w:cs="仿宋"/>
          <w:spacing w:val="5"/>
          <w:sz w:val="32"/>
          <w:szCs w:val="32"/>
        </w:rPr>
        <w:t xml:space="preserve"> </w:t>
      </w:r>
      <w:r>
        <w:rPr>
          <w:rFonts w:hint="eastAsia" w:ascii="仿宋_GB2312" w:hAnsi="Times New Roman" w:eastAsia="仿宋_GB2312" w:cs="Times New Roman"/>
          <w:snapToGrid/>
          <w:kern w:val="2"/>
          <w:sz w:val="32"/>
          <w:szCs w:val="32"/>
          <w:lang w:val="en-US" w:eastAsia="zh-Hans"/>
        </w:rPr>
        <w:t>本规划由云南省新平彝族傣族自治县烟草专卖局负责解释。</w:t>
      </w:r>
    </w:p>
    <w:p w14:paraId="1333912F">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0" w:rightChars="0" w:firstLine="660" w:firstLineChars="200"/>
        <w:jc w:val="both"/>
        <w:textAlignment w:val="baseline"/>
        <w:outlineLvl w:val="9"/>
        <w:rPr>
          <w:rFonts w:hint="eastAsia" w:ascii="仿宋_GB2312" w:hAnsi="Times New Roman" w:eastAsia="仿宋_GB2312" w:cs="Times New Roman"/>
          <w:snapToGrid/>
          <w:color w:val="FF0000"/>
          <w:kern w:val="2"/>
          <w:sz w:val="32"/>
          <w:szCs w:val="32"/>
          <w:lang w:eastAsia="zh-CN"/>
        </w:rPr>
      </w:pPr>
      <w:r>
        <w:rPr>
          <w:rFonts w:ascii="黑体" w:hAnsi="黑体" w:eastAsia="黑体" w:cs="黑体"/>
          <w:color w:val="FF0000"/>
          <w:spacing w:val="5"/>
          <w:sz w:val="32"/>
          <w:szCs w:val="32"/>
        </w:rPr>
        <w:t>第</w:t>
      </w:r>
      <w:r>
        <w:rPr>
          <w:rFonts w:hint="eastAsia" w:ascii="黑体" w:hAnsi="黑体" w:eastAsia="黑体" w:cs="黑体"/>
          <w:color w:val="FF0000"/>
          <w:spacing w:val="5"/>
          <w:sz w:val="32"/>
          <w:szCs w:val="32"/>
          <w:lang w:eastAsia="zh-CN"/>
        </w:rPr>
        <w:t>二十</w:t>
      </w:r>
      <w:r>
        <w:rPr>
          <w:rFonts w:hint="eastAsia" w:ascii="黑体" w:hAnsi="黑体" w:eastAsia="黑体" w:cs="黑体"/>
          <w:color w:val="FF0000"/>
          <w:spacing w:val="5"/>
          <w:sz w:val="32"/>
          <w:szCs w:val="32"/>
          <w:lang w:val="en-US" w:eastAsia="zh-CN"/>
        </w:rPr>
        <w:t>九</w:t>
      </w:r>
      <w:r>
        <w:rPr>
          <w:rFonts w:ascii="黑体" w:hAnsi="黑体" w:eastAsia="黑体" w:cs="黑体"/>
          <w:color w:val="FF0000"/>
          <w:spacing w:val="5"/>
          <w:sz w:val="32"/>
          <w:szCs w:val="32"/>
        </w:rPr>
        <w:t>条</w:t>
      </w:r>
      <w:r>
        <w:rPr>
          <w:rFonts w:ascii="仿宋" w:hAnsi="仿宋" w:eastAsia="仿宋" w:cs="仿宋"/>
          <w:color w:val="FF0000"/>
          <w:spacing w:val="5"/>
          <w:sz w:val="32"/>
          <w:szCs w:val="32"/>
        </w:rPr>
        <w:t xml:space="preserve"> </w:t>
      </w:r>
      <w:r>
        <w:rPr>
          <w:rFonts w:hint="eastAsia" w:ascii="仿宋_GB2312" w:hAnsi="仿宋_GB2312" w:eastAsia="仿宋_GB2312" w:cs="仿宋_GB2312"/>
          <w:snapToGrid/>
          <w:color w:val="FF0000"/>
          <w:spacing w:val="10"/>
          <w:kern w:val="2"/>
          <w:sz w:val="32"/>
          <w:szCs w:val="32"/>
          <w:lang w:val="en-US" w:eastAsia="zh-CN"/>
        </w:rPr>
        <w:t>本规划自2026年XX月XX日施行</w:t>
      </w:r>
      <w:r>
        <w:rPr>
          <w:rFonts w:hint="eastAsia" w:ascii="仿宋_GB2312" w:hAnsi="仿宋_GB2312" w:eastAsia="仿宋_GB2312" w:cs="仿宋_GB2312"/>
          <w:snapToGrid/>
          <w:color w:val="FF0000"/>
          <w:spacing w:val="10"/>
          <w:kern w:val="2"/>
          <w:sz w:val="32"/>
          <w:szCs w:val="32"/>
          <w:lang w:val="en-US" w:eastAsia="zh-Hans"/>
        </w:rPr>
        <w:t>。</w:t>
      </w:r>
      <w:r>
        <w:rPr>
          <w:rFonts w:hint="eastAsia" w:ascii="仿宋_GB2312" w:hAnsi="Times New Roman" w:eastAsia="仿宋_GB2312" w:cs="Times New Roman"/>
          <w:snapToGrid/>
          <w:color w:val="FF0000"/>
          <w:kern w:val="2"/>
          <w:sz w:val="32"/>
          <w:szCs w:val="32"/>
          <w:lang w:val="en-US" w:eastAsia="zh-CN"/>
        </w:rPr>
        <w:t>2</w:t>
      </w:r>
      <w:r>
        <w:rPr>
          <w:rFonts w:hint="eastAsia" w:ascii="仿宋_GB2312" w:hAnsi="Times New Roman" w:eastAsia="仿宋_GB2312" w:cs="Times New Roman"/>
          <w:snapToGrid/>
          <w:color w:val="FF0000"/>
          <w:kern w:val="2"/>
          <w:sz w:val="32"/>
          <w:szCs w:val="32"/>
          <w:lang w:eastAsia="zh-CN"/>
        </w:rPr>
        <w:t>0</w:t>
      </w:r>
      <w:r>
        <w:rPr>
          <w:rFonts w:hint="eastAsia" w:ascii="仿宋_GB2312" w:hAnsi="Times New Roman" w:eastAsia="仿宋_GB2312" w:cs="Times New Roman"/>
          <w:snapToGrid/>
          <w:color w:val="FF0000"/>
          <w:kern w:val="2"/>
          <w:sz w:val="32"/>
          <w:szCs w:val="32"/>
          <w:lang w:val="en-US" w:eastAsia="zh-CN"/>
        </w:rPr>
        <w:t>25</w:t>
      </w:r>
      <w:r>
        <w:rPr>
          <w:rFonts w:hint="eastAsia" w:ascii="仿宋_GB2312" w:hAnsi="Times New Roman" w:eastAsia="仿宋_GB2312" w:cs="Times New Roman"/>
          <w:snapToGrid/>
          <w:color w:val="FF0000"/>
          <w:kern w:val="2"/>
          <w:sz w:val="32"/>
          <w:szCs w:val="32"/>
          <w:lang w:eastAsia="zh-CN"/>
        </w:rPr>
        <w:t>年</w:t>
      </w:r>
      <w:r>
        <w:rPr>
          <w:rFonts w:hint="eastAsia" w:ascii="仿宋_GB2312" w:hAnsi="Times New Roman" w:eastAsia="仿宋_GB2312" w:cs="Times New Roman"/>
          <w:snapToGrid/>
          <w:color w:val="FF0000"/>
          <w:kern w:val="2"/>
          <w:sz w:val="32"/>
          <w:szCs w:val="32"/>
          <w:lang w:val="en-US" w:eastAsia="zh-CN"/>
        </w:rPr>
        <w:t>11</w:t>
      </w:r>
      <w:r>
        <w:rPr>
          <w:rFonts w:hint="eastAsia" w:ascii="仿宋_GB2312" w:hAnsi="Times New Roman" w:eastAsia="仿宋_GB2312" w:cs="Times New Roman"/>
          <w:snapToGrid/>
          <w:color w:val="FF0000"/>
          <w:kern w:val="2"/>
          <w:sz w:val="32"/>
          <w:szCs w:val="32"/>
          <w:lang w:eastAsia="zh-CN"/>
        </w:rPr>
        <w:t>月</w:t>
      </w:r>
      <w:r>
        <w:rPr>
          <w:rFonts w:hint="eastAsia" w:ascii="仿宋_GB2312" w:hAnsi="Times New Roman" w:eastAsia="仿宋_GB2312" w:cs="Times New Roman"/>
          <w:snapToGrid/>
          <w:color w:val="FF0000"/>
          <w:kern w:val="2"/>
          <w:sz w:val="32"/>
          <w:szCs w:val="32"/>
          <w:lang w:val="en-US" w:eastAsia="zh-CN"/>
        </w:rPr>
        <w:t>1</w:t>
      </w:r>
      <w:r>
        <w:rPr>
          <w:rFonts w:hint="eastAsia" w:ascii="仿宋_GB2312" w:hAnsi="Times New Roman" w:eastAsia="仿宋_GB2312" w:cs="Times New Roman"/>
          <w:snapToGrid/>
          <w:color w:val="FF0000"/>
          <w:kern w:val="2"/>
          <w:sz w:val="32"/>
          <w:szCs w:val="32"/>
          <w:lang w:eastAsia="zh-CN"/>
        </w:rPr>
        <w:t>日起实施的《</w:t>
      </w:r>
      <w:r>
        <w:rPr>
          <w:rFonts w:hint="eastAsia" w:ascii="仿宋_GB2312" w:hAnsi="Times New Roman" w:eastAsia="仿宋_GB2312" w:cs="Times New Roman"/>
          <w:snapToGrid/>
          <w:color w:val="FF0000"/>
          <w:kern w:val="2"/>
          <w:sz w:val="32"/>
          <w:szCs w:val="32"/>
          <w:lang w:val="en-US" w:eastAsia="zh-Hans"/>
        </w:rPr>
        <w:t>云南省新平彝族傣族自治县</w:t>
      </w:r>
      <w:r>
        <w:rPr>
          <w:rFonts w:hint="eastAsia" w:ascii="仿宋_GB2312" w:hAnsi="Times New Roman" w:eastAsia="仿宋_GB2312" w:cs="Times New Roman"/>
          <w:snapToGrid/>
          <w:color w:val="FF0000"/>
          <w:kern w:val="2"/>
          <w:sz w:val="32"/>
          <w:szCs w:val="32"/>
          <w:lang w:eastAsia="zh-CN"/>
        </w:rPr>
        <w:t>烟草制品零售点合理布局规划》（</w:t>
      </w:r>
      <w:r>
        <w:rPr>
          <w:rFonts w:hint="eastAsia" w:ascii="仿宋_GB2312" w:hAnsi="Times New Roman" w:eastAsia="仿宋_GB2312" w:cs="Times New Roman"/>
          <w:snapToGrid/>
          <w:color w:val="FF0000"/>
          <w:kern w:val="2"/>
          <w:sz w:val="32"/>
          <w:szCs w:val="32"/>
          <w:lang w:val="en-US" w:eastAsia="zh-Hans"/>
        </w:rPr>
        <w:t>新</w:t>
      </w:r>
      <w:r>
        <w:rPr>
          <w:rFonts w:hint="eastAsia" w:ascii="仿宋_GB2312" w:hAnsi="Times New Roman" w:eastAsia="仿宋_GB2312" w:cs="Times New Roman"/>
          <w:snapToGrid/>
          <w:color w:val="FF0000"/>
          <w:kern w:val="2"/>
          <w:sz w:val="32"/>
          <w:szCs w:val="32"/>
          <w:lang w:eastAsia="zh-CN"/>
        </w:rPr>
        <w:t>烟专〔20</w:t>
      </w:r>
      <w:r>
        <w:rPr>
          <w:rFonts w:hint="eastAsia" w:ascii="仿宋_GB2312" w:hAnsi="Times New Roman" w:eastAsia="仿宋_GB2312" w:cs="Times New Roman"/>
          <w:snapToGrid/>
          <w:color w:val="FF0000"/>
          <w:kern w:val="2"/>
          <w:sz w:val="32"/>
          <w:szCs w:val="32"/>
          <w:lang w:val="en-US" w:eastAsia="zh-CN"/>
        </w:rPr>
        <w:t>25</w:t>
      </w:r>
      <w:r>
        <w:rPr>
          <w:rFonts w:hint="eastAsia" w:ascii="仿宋_GB2312" w:hAnsi="Times New Roman" w:eastAsia="仿宋_GB2312" w:cs="Times New Roman"/>
          <w:snapToGrid/>
          <w:color w:val="FF0000"/>
          <w:kern w:val="2"/>
          <w:sz w:val="32"/>
          <w:szCs w:val="32"/>
          <w:lang w:eastAsia="zh-CN"/>
        </w:rPr>
        <w:t>〕</w:t>
      </w:r>
      <w:r>
        <w:rPr>
          <w:rFonts w:hint="eastAsia" w:ascii="仿宋_GB2312" w:hAnsi="Times New Roman" w:eastAsia="仿宋_GB2312" w:cs="Times New Roman"/>
          <w:snapToGrid/>
          <w:color w:val="FF0000"/>
          <w:kern w:val="2"/>
          <w:sz w:val="32"/>
          <w:szCs w:val="32"/>
          <w:lang w:val="en-US" w:eastAsia="zh-CN"/>
        </w:rPr>
        <w:t>9</w:t>
      </w:r>
      <w:r>
        <w:rPr>
          <w:rFonts w:hint="eastAsia" w:ascii="仿宋_GB2312" w:hAnsi="Times New Roman" w:eastAsia="仿宋_GB2312" w:cs="Times New Roman"/>
          <w:snapToGrid/>
          <w:color w:val="FF0000"/>
          <w:kern w:val="2"/>
          <w:sz w:val="32"/>
          <w:szCs w:val="32"/>
          <w:lang w:eastAsia="zh-CN"/>
        </w:rPr>
        <w:t>号）同时废止。</w:t>
      </w:r>
    </w:p>
    <w:p w14:paraId="561C895E">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p>
    <w:p w14:paraId="67ECF932">
      <w:pPr>
        <w:keepNext w:val="0"/>
        <w:keepLines w:val="0"/>
        <w:pageBreakBefore w:val="0"/>
        <w:widowControl w:val="0"/>
        <w:kinsoku/>
        <w:wordWrap/>
        <w:overflowPunct/>
        <w:topLinePunct w:val="0"/>
        <w:autoSpaceDE/>
        <w:autoSpaceDN/>
        <w:bidi w:val="0"/>
        <w:adjustRightInd w:val="0"/>
        <w:snapToGrid/>
        <w:spacing w:line="336" w:lineRule="auto"/>
        <w:ind w:firstLine="640" w:firstLineChars="2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附件：1.云南省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县烟草制品零售点间距</w:t>
      </w:r>
    </w:p>
    <w:p w14:paraId="0077CAC3">
      <w:pPr>
        <w:keepNext w:val="0"/>
        <w:keepLines w:val="0"/>
        <w:pageBreakBefore w:val="0"/>
        <w:widowControl w:val="0"/>
        <w:kinsoku/>
        <w:wordWrap/>
        <w:overflowPunct/>
        <w:topLinePunct w:val="0"/>
        <w:autoSpaceDE/>
        <w:autoSpaceDN/>
        <w:bidi w:val="0"/>
        <w:adjustRightInd w:val="0"/>
        <w:snapToGrid/>
        <w:spacing w:line="336" w:lineRule="auto"/>
        <w:ind w:firstLine="1920" w:firstLineChars="6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测量规则及标准</w:t>
      </w:r>
    </w:p>
    <w:p w14:paraId="5070830B">
      <w:pPr>
        <w:keepNext w:val="0"/>
        <w:keepLines w:val="0"/>
        <w:pageBreakBefore w:val="0"/>
        <w:widowControl w:val="0"/>
        <w:kinsoku/>
        <w:wordWrap/>
        <w:overflowPunct/>
        <w:topLinePunct w:val="0"/>
        <w:autoSpaceDE/>
        <w:autoSpaceDN/>
        <w:bidi w:val="0"/>
        <w:adjustRightInd w:val="0"/>
        <w:snapToGrid/>
        <w:spacing w:line="336" w:lineRule="auto"/>
        <w:ind w:firstLine="1600" w:firstLineChars="5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2.云南省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县烟草制品零售点合理</w:t>
      </w:r>
    </w:p>
    <w:p w14:paraId="6F7EFB6B">
      <w:pPr>
        <w:keepNext w:val="0"/>
        <w:keepLines w:val="0"/>
        <w:pageBreakBefore w:val="0"/>
        <w:widowControl w:val="0"/>
        <w:kinsoku/>
        <w:wordWrap/>
        <w:overflowPunct/>
        <w:topLinePunct w:val="0"/>
        <w:autoSpaceDE/>
        <w:autoSpaceDN/>
        <w:bidi w:val="0"/>
        <w:adjustRightInd w:val="0"/>
        <w:snapToGrid/>
        <w:spacing w:line="336" w:lineRule="auto"/>
        <w:ind w:firstLine="1920" w:firstLineChars="6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布局公示表</w:t>
      </w:r>
    </w:p>
    <w:p w14:paraId="51BB5A70">
      <w:pPr>
        <w:keepNext w:val="0"/>
        <w:keepLines w:val="0"/>
        <w:pageBreakBefore w:val="0"/>
        <w:widowControl w:val="0"/>
        <w:kinsoku/>
        <w:wordWrap/>
        <w:overflowPunct/>
        <w:topLinePunct w:val="0"/>
        <w:autoSpaceDE/>
        <w:autoSpaceDN/>
        <w:bidi w:val="0"/>
        <w:adjustRightInd w:val="0"/>
        <w:snapToGrid/>
        <w:spacing w:line="336" w:lineRule="auto"/>
        <w:ind w:firstLine="1600" w:firstLineChars="5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3.云南省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县烟草制品零售点合理</w:t>
      </w:r>
    </w:p>
    <w:p w14:paraId="1CF903A0">
      <w:pPr>
        <w:keepNext w:val="0"/>
        <w:keepLines w:val="0"/>
        <w:pageBreakBefore w:val="0"/>
        <w:widowControl w:val="0"/>
        <w:kinsoku/>
        <w:wordWrap/>
        <w:overflowPunct/>
        <w:topLinePunct w:val="0"/>
        <w:autoSpaceDE/>
        <w:autoSpaceDN/>
        <w:bidi w:val="0"/>
        <w:adjustRightInd w:val="0"/>
        <w:snapToGrid/>
        <w:spacing w:line="336" w:lineRule="auto"/>
        <w:ind w:firstLine="1920" w:firstLineChars="6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布局规划网格示意图</w:t>
      </w:r>
    </w:p>
    <w:p w14:paraId="3D917D0D">
      <w:pPr>
        <w:keepNext w:val="0"/>
        <w:keepLines w:val="0"/>
        <w:pageBreakBefore w:val="0"/>
        <w:widowControl w:val="0"/>
        <w:kinsoku/>
        <w:wordWrap/>
        <w:overflowPunct/>
        <w:topLinePunct w:val="0"/>
        <w:autoSpaceDE/>
        <w:autoSpaceDN/>
        <w:bidi w:val="0"/>
        <w:adjustRightInd w:val="0"/>
        <w:snapToGrid/>
        <w:spacing w:line="336" w:lineRule="auto"/>
        <w:ind w:left="1916" w:leftChars="760" w:hanging="320" w:hangingChars="100"/>
        <w:jc w:val="both"/>
        <w:textAlignment w:val="auto"/>
        <w:rPr>
          <w:rFonts w:hint="default"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4.</w:t>
      </w:r>
      <w:r>
        <w:rPr>
          <w:rFonts w:hint="eastAsia" w:ascii="仿宋_GB2312" w:hAnsi="Times New Roman" w:eastAsia="仿宋_GB2312" w:cs="Times New Roman"/>
          <w:snapToGrid/>
          <w:kern w:val="2"/>
          <w:sz w:val="32"/>
          <w:szCs w:val="32"/>
          <w:lang w:eastAsia="zh-CN"/>
        </w:rPr>
        <w:t>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w:t>
      </w:r>
      <w:r>
        <w:rPr>
          <w:rFonts w:hint="eastAsia" w:ascii="仿宋_GB2312" w:hAnsi="Times New Roman" w:eastAsia="仿宋_GB2312" w:cs="Times New Roman"/>
          <w:snapToGrid/>
          <w:kern w:val="2"/>
          <w:sz w:val="32"/>
          <w:szCs w:val="32"/>
          <w:lang w:val="en-US" w:eastAsia="zh-CN"/>
        </w:rPr>
        <w:t>雪茄烟专营零售点合理布局公示表</w:t>
      </w:r>
    </w:p>
    <w:p w14:paraId="3B204B4A">
      <w:pPr>
        <w:keepNext w:val="0"/>
        <w:keepLines w:val="0"/>
        <w:pageBreakBefore w:val="0"/>
        <w:widowControl w:val="0"/>
        <w:kinsoku/>
        <w:wordWrap/>
        <w:overflowPunct/>
        <w:topLinePunct w:val="0"/>
        <w:autoSpaceDE/>
        <w:autoSpaceDN/>
        <w:bidi w:val="0"/>
        <w:adjustRightInd w:val="0"/>
        <w:snapToGrid/>
        <w:spacing w:line="336" w:lineRule="auto"/>
        <w:ind w:firstLine="1600" w:firstLineChars="5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val="en-US" w:eastAsia="zh-CN"/>
        </w:rPr>
        <w:t>5</w:t>
      </w:r>
      <w:r>
        <w:rPr>
          <w:rFonts w:hint="eastAsia" w:ascii="仿宋_GB2312" w:hAnsi="Times New Roman" w:eastAsia="仿宋_GB2312" w:cs="Times New Roman"/>
          <w:snapToGrid/>
          <w:kern w:val="2"/>
          <w:sz w:val="32"/>
          <w:szCs w:val="32"/>
          <w:lang w:eastAsia="zh-CN"/>
        </w:rPr>
        <w:t>.云南省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县烟草制品零售点合理</w:t>
      </w:r>
    </w:p>
    <w:p w14:paraId="4AEA485C">
      <w:pPr>
        <w:keepNext w:val="0"/>
        <w:keepLines w:val="0"/>
        <w:pageBreakBefore w:val="0"/>
        <w:widowControl w:val="0"/>
        <w:kinsoku/>
        <w:wordWrap/>
        <w:overflowPunct/>
        <w:topLinePunct w:val="0"/>
        <w:autoSpaceDE/>
        <w:autoSpaceDN/>
        <w:bidi w:val="0"/>
        <w:adjustRightInd w:val="0"/>
        <w:snapToGrid/>
        <w:spacing w:line="336" w:lineRule="auto"/>
        <w:ind w:firstLine="1920" w:firstLineChars="6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布局规划数动态调整管理制度</w:t>
      </w:r>
    </w:p>
    <w:p w14:paraId="1E4F2D23">
      <w:pPr>
        <w:keepNext w:val="0"/>
        <w:keepLines w:val="0"/>
        <w:pageBreakBefore w:val="0"/>
        <w:widowControl w:val="0"/>
        <w:kinsoku/>
        <w:wordWrap/>
        <w:overflowPunct/>
        <w:topLinePunct w:val="0"/>
        <w:autoSpaceDE/>
        <w:autoSpaceDN/>
        <w:bidi w:val="0"/>
        <w:adjustRightInd w:val="0"/>
        <w:snapToGrid/>
        <w:spacing w:line="336" w:lineRule="auto"/>
        <w:ind w:firstLine="1600" w:firstLineChars="5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val="en-US" w:eastAsia="zh-CN"/>
        </w:rPr>
        <w:t>6</w:t>
      </w:r>
      <w:r>
        <w:rPr>
          <w:rFonts w:hint="eastAsia" w:ascii="仿宋_GB2312" w:hAnsi="Times New Roman" w:eastAsia="仿宋_GB2312" w:cs="Times New Roman"/>
          <w:snapToGrid/>
          <w:kern w:val="2"/>
          <w:sz w:val="32"/>
          <w:szCs w:val="32"/>
          <w:lang w:eastAsia="zh-CN"/>
        </w:rPr>
        <w:t>.云南省</w:t>
      </w:r>
      <w:r>
        <w:rPr>
          <w:rFonts w:hint="eastAsia" w:ascii="仿宋_GB2312" w:hAnsi="Times New Roman" w:eastAsia="仿宋_GB2312" w:cs="Times New Roman"/>
          <w:snapToGrid/>
          <w:kern w:val="2"/>
          <w:sz w:val="32"/>
          <w:szCs w:val="32"/>
          <w:lang w:val="en-US" w:eastAsia="zh-Hans"/>
        </w:rPr>
        <w:t>新平彝族傣族自治</w:t>
      </w:r>
      <w:r>
        <w:rPr>
          <w:rFonts w:hint="eastAsia" w:ascii="仿宋_GB2312" w:hAnsi="Times New Roman" w:eastAsia="仿宋_GB2312" w:cs="Times New Roman"/>
          <w:snapToGrid/>
          <w:kern w:val="2"/>
          <w:sz w:val="32"/>
          <w:szCs w:val="32"/>
          <w:lang w:eastAsia="zh-CN"/>
        </w:rPr>
        <w:t>县烟草制品零售点排队</w:t>
      </w:r>
    </w:p>
    <w:p w14:paraId="2F574861">
      <w:pPr>
        <w:keepNext w:val="0"/>
        <w:keepLines w:val="0"/>
        <w:pageBreakBefore w:val="0"/>
        <w:widowControl w:val="0"/>
        <w:kinsoku/>
        <w:wordWrap/>
        <w:overflowPunct/>
        <w:topLinePunct w:val="0"/>
        <w:autoSpaceDE/>
        <w:autoSpaceDN/>
        <w:bidi w:val="0"/>
        <w:adjustRightInd w:val="0"/>
        <w:snapToGrid/>
        <w:spacing w:line="336" w:lineRule="auto"/>
        <w:ind w:firstLine="1920" w:firstLineChars="600"/>
        <w:jc w:val="both"/>
        <w:textAlignment w:val="auto"/>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t>轮候制度</w:t>
      </w:r>
    </w:p>
    <w:p w14:paraId="6364C637">
      <w:pPr>
        <w:keepNext w:val="0"/>
        <w:keepLines w:val="0"/>
        <w:pageBreakBefore w:val="0"/>
        <w:widowControl w:val="0"/>
        <w:kinsoku/>
        <w:wordWrap/>
        <w:overflowPunct/>
        <w:topLinePunct w:val="0"/>
        <w:autoSpaceDE/>
        <w:autoSpaceDN/>
        <w:bidi w:val="0"/>
        <w:adjustRightInd w:val="0"/>
        <w:snapToGrid/>
        <w:spacing w:line="336" w:lineRule="auto"/>
        <w:jc w:val="both"/>
        <w:textAlignment w:val="auto"/>
        <w:rPr>
          <w:rFonts w:hint="eastAsia" w:ascii="仿宋_GB2312" w:hAnsi="Times New Roman" w:eastAsia="仿宋_GB2312" w:cs="Times New Roman"/>
          <w:snapToGrid/>
          <w:kern w:val="2"/>
          <w:sz w:val="32"/>
          <w:szCs w:val="32"/>
          <w:lang w:eastAsia="zh-CN"/>
        </w:rPr>
        <w:sectPr>
          <w:footerReference r:id="rId6" w:type="first"/>
          <w:footerReference r:id="rId5" w:type="default"/>
          <w:pgSz w:w="11916" w:h="16848"/>
          <w:pgMar w:top="2098" w:right="1531" w:bottom="1984" w:left="1530" w:header="850" w:footer="1531" w:gutter="0"/>
          <w:pgNumType w:fmt="numberInDash" w:start="1"/>
          <w:cols w:space="0" w:num="1"/>
          <w:titlePg/>
          <w:rtlGutter w:val="0"/>
          <w:docGrid w:linePitch="0" w:charSpace="0"/>
        </w:sectPr>
      </w:pPr>
    </w:p>
    <w:p w14:paraId="086B08DD">
      <w:pPr>
        <w:widowControl/>
        <w:spacing w:before="86" w:line="360" w:lineRule="auto"/>
        <w:jc w:val="left"/>
        <w:rPr>
          <w:rFonts w:ascii="黑体" w:hAnsi="黑体" w:eastAsia="黑体" w:cs="黑体"/>
          <w:spacing w:val="10"/>
          <w:sz w:val="32"/>
          <w:szCs w:val="32"/>
        </w:rPr>
      </w:pPr>
      <w:r>
        <w:rPr>
          <w:rFonts w:hint="eastAsia" w:ascii="黑体" w:hAnsi="黑体" w:eastAsia="黑体" w:cs="黑体"/>
          <w:spacing w:val="10"/>
          <w:sz w:val="32"/>
          <w:szCs w:val="32"/>
        </w:rPr>
        <w:t>附件1</w:t>
      </w:r>
    </w:p>
    <w:p w14:paraId="4AEBFDA0">
      <w:pPr>
        <w:snapToGrid w:val="0"/>
        <w:spacing w:line="317" w:lineRule="auto"/>
        <w:jc w:val="center"/>
        <w:rPr>
          <w:rFonts w:hint="eastAsia" w:ascii="方正小标宋简体" w:eastAsia="方正小标宋简体"/>
          <w:sz w:val="44"/>
          <w:szCs w:val="44"/>
        </w:rPr>
      </w:pPr>
      <w:r>
        <w:rPr>
          <w:rFonts w:hint="eastAsia" w:ascii="方正小标宋简体" w:eastAsia="方正小标宋简体"/>
          <w:sz w:val="44"/>
          <w:szCs w:val="44"/>
        </w:rPr>
        <w:t>云南省</w:t>
      </w:r>
      <w:r>
        <w:rPr>
          <w:rFonts w:hint="eastAsia" w:ascii="方正小标宋简体" w:eastAsia="方正小标宋简体"/>
          <w:sz w:val="44"/>
          <w:szCs w:val="44"/>
          <w:lang w:val="en-US" w:eastAsia="zh-Hans"/>
        </w:rPr>
        <w:t>新平彝族傣族自治</w:t>
      </w:r>
      <w:r>
        <w:rPr>
          <w:rFonts w:hint="eastAsia" w:ascii="方正小标宋简体" w:eastAsia="方正小标宋简体"/>
          <w:sz w:val="44"/>
          <w:szCs w:val="44"/>
        </w:rPr>
        <w:t>县烟草制品</w:t>
      </w:r>
    </w:p>
    <w:p w14:paraId="0E0F8C61">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零售点间距测量规则及标准</w:t>
      </w:r>
    </w:p>
    <w:p w14:paraId="2E871E6C"/>
    <w:p w14:paraId="27AF8D33">
      <w:pPr>
        <w:widowControl/>
        <w:tabs>
          <w:tab w:val="left" w:pos="2723"/>
        </w:tabs>
        <w:adjustRightInd w:val="0"/>
        <w:snapToGrid w:val="0"/>
        <w:spacing w:before="86" w:line="336" w:lineRule="auto"/>
        <w:ind w:firstLine="680" w:firstLineChars="200"/>
        <w:jc w:val="both"/>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根据</w:t>
      </w:r>
      <w:r>
        <w:rPr>
          <w:rFonts w:hint="eastAsia" w:ascii="仿宋_GB2312" w:hAnsi="仿宋_GB2312" w:eastAsia="仿宋_GB2312" w:cs="仿宋_GB2312"/>
          <w:spacing w:val="10"/>
          <w:sz w:val="32"/>
          <w:szCs w:val="32"/>
          <w:lang w:val="en-US" w:eastAsia="zh-Hans"/>
        </w:rPr>
        <w:t>新平彝族傣族自治</w:t>
      </w:r>
      <w:r>
        <w:rPr>
          <w:rFonts w:hint="eastAsia" w:ascii="仿宋_GB2312" w:hAnsi="仿宋_GB2312" w:eastAsia="仿宋_GB2312" w:cs="仿宋_GB2312"/>
          <w:spacing w:val="10"/>
          <w:sz w:val="32"/>
          <w:szCs w:val="32"/>
        </w:rPr>
        <w:t>县辖区实际情况，现明确《云南省</w:t>
      </w:r>
      <w:r>
        <w:rPr>
          <w:rFonts w:hint="eastAsia" w:ascii="仿宋_GB2312" w:hAnsi="仿宋_GB2312" w:eastAsia="仿宋_GB2312" w:cs="仿宋_GB2312"/>
          <w:spacing w:val="10"/>
          <w:sz w:val="32"/>
          <w:szCs w:val="32"/>
          <w:lang w:val="en-US" w:eastAsia="zh-Hans"/>
        </w:rPr>
        <w:t>新平彝族傣族自治</w:t>
      </w:r>
      <w:r>
        <w:rPr>
          <w:rFonts w:hint="eastAsia" w:ascii="仿宋_GB2312" w:hAnsi="仿宋_GB2312" w:eastAsia="仿宋_GB2312" w:cs="仿宋_GB2312"/>
          <w:spacing w:val="10"/>
          <w:sz w:val="32"/>
          <w:szCs w:val="32"/>
        </w:rPr>
        <w:t>县烟草制品零售点合理布局规划》第</w:t>
      </w:r>
      <w:r>
        <w:rPr>
          <w:rFonts w:hint="eastAsia" w:ascii="仿宋_GB2312" w:hAnsi="仿宋_GB2312" w:eastAsia="仿宋_GB2312" w:cs="仿宋_GB2312"/>
          <w:spacing w:val="10"/>
          <w:sz w:val="32"/>
          <w:szCs w:val="32"/>
          <w:lang w:eastAsia="zh-CN"/>
        </w:rPr>
        <w:t>八</w:t>
      </w:r>
      <w:r>
        <w:rPr>
          <w:rFonts w:hint="eastAsia" w:ascii="仿宋_GB2312" w:hAnsi="仿宋_GB2312" w:eastAsia="仿宋_GB2312" w:cs="仿宋_GB2312"/>
          <w:spacing w:val="10"/>
          <w:sz w:val="32"/>
          <w:szCs w:val="32"/>
        </w:rPr>
        <w:t>条中有关的“零售点间距”测量规则及标准如下：</w:t>
      </w:r>
    </w:p>
    <w:p w14:paraId="6C2773CF">
      <w:pPr>
        <w:widowControl/>
        <w:adjustRightInd w:val="0"/>
        <w:snapToGrid w:val="0"/>
        <w:spacing w:before="86" w:line="336" w:lineRule="auto"/>
        <w:ind w:firstLine="640" w:firstLineChars="200"/>
        <w:jc w:val="both"/>
        <w:rPr>
          <w:rFonts w:ascii="黑体" w:hAnsi="黑体" w:eastAsia="黑体" w:cs="黑体"/>
          <w:sz w:val="32"/>
          <w:szCs w:val="32"/>
        </w:rPr>
      </w:pPr>
      <w:r>
        <w:rPr>
          <w:rFonts w:hint="eastAsia" w:ascii="黑体" w:hAnsi="黑体" w:eastAsia="黑体" w:cs="黑体"/>
          <w:sz w:val="32"/>
          <w:szCs w:val="32"/>
        </w:rPr>
        <w:t>一、测量规则</w:t>
      </w:r>
    </w:p>
    <w:p w14:paraId="35342991">
      <w:pPr>
        <w:adjustRightInd w:val="0"/>
        <w:snapToGrid w:val="0"/>
        <w:spacing w:line="336" w:lineRule="auto"/>
        <w:ind w:firstLine="640" w:firstLineChars="200"/>
        <w:jc w:val="both"/>
        <w:rPr>
          <w:rFonts w:ascii="仿宋_GB2312" w:eastAsia="仿宋_GB2312"/>
          <w:sz w:val="32"/>
          <w:szCs w:val="32"/>
        </w:rPr>
      </w:pPr>
      <w:r>
        <w:rPr>
          <w:rFonts w:hint="eastAsia" w:ascii="仿宋_GB2312" w:eastAsia="仿宋_GB2312"/>
          <w:sz w:val="32"/>
          <w:szCs w:val="32"/>
        </w:rPr>
        <w:t>（一）现场核查零售点间距的测量以“可安全步行最短距离”为总体原则，其他未穷尽列举的情形均参照本原则测量。</w:t>
      </w:r>
    </w:p>
    <w:p w14:paraId="42C69AD4">
      <w:pPr>
        <w:adjustRightInd w:val="0"/>
        <w:snapToGrid w:val="0"/>
        <w:spacing w:line="336" w:lineRule="auto"/>
        <w:ind w:firstLine="640" w:firstLineChars="200"/>
        <w:jc w:val="both"/>
        <w:rPr>
          <w:rFonts w:ascii="仿宋_GB2312" w:eastAsia="仿宋_GB2312"/>
          <w:sz w:val="32"/>
          <w:szCs w:val="32"/>
        </w:rPr>
      </w:pPr>
      <w:r>
        <w:rPr>
          <w:rFonts w:hint="eastAsia" w:ascii="仿宋_GB2312" w:eastAsia="仿宋_GB2312"/>
          <w:sz w:val="32"/>
          <w:szCs w:val="32"/>
        </w:rPr>
        <w:t>（二）应当使用符合国家距离测量标准的测量工具。</w:t>
      </w:r>
    </w:p>
    <w:p w14:paraId="3BE4A45C">
      <w:pPr>
        <w:adjustRightInd w:val="0"/>
        <w:snapToGrid w:val="0"/>
        <w:spacing w:line="336" w:lineRule="auto"/>
        <w:ind w:firstLine="640" w:firstLineChars="200"/>
        <w:jc w:val="both"/>
        <w:rPr>
          <w:rFonts w:ascii="仿宋_GB2312" w:eastAsia="仿宋_GB2312"/>
          <w:sz w:val="32"/>
          <w:szCs w:val="32"/>
        </w:rPr>
      </w:pPr>
      <w:r>
        <w:rPr>
          <w:rFonts w:hint="eastAsia" w:ascii="仿宋_GB2312" w:eastAsia="仿宋_GB2312"/>
          <w:sz w:val="32"/>
          <w:szCs w:val="32"/>
        </w:rPr>
        <w:t>（三）“零售点间距”是指申请点与参照零售点（周边已设最近的零售点）之间按“门边到门边”原则进行测量。测量数据精确到小数点后一位，如“30.0米”或“100.0米”。</w:t>
      </w:r>
    </w:p>
    <w:p w14:paraId="41DB175E">
      <w:pPr>
        <w:keepNext w:val="0"/>
        <w:keepLines w:val="0"/>
        <w:pageBreakBefore w:val="0"/>
        <w:widowControl w:val="0"/>
        <w:kinsoku w:val="0"/>
        <w:wordWrap/>
        <w:overflowPunct/>
        <w:topLinePunct w:val="0"/>
        <w:autoSpaceDE w:val="0"/>
        <w:autoSpaceDN w:val="0"/>
        <w:bidi w:val="0"/>
        <w:adjustRightInd w:val="0"/>
        <w:snapToGrid w:val="0"/>
        <w:spacing w:line="336" w:lineRule="auto"/>
        <w:ind w:firstLine="640" w:firstLineChars="200"/>
        <w:jc w:val="both"/>
        <w:textAlignment w:val="baseline"/>
        <w:rPr>
          <w:rFonts w:ascii="仿宋_GB2312" w:eastAsia="仿宋_GB2312"/>
          <w:sz w:val="32"/>
          <w:szCs w:val="32"/>
        </w:rPr>
      </w:pPr>
      <w:r>
        <w:rPr>
          <w:rFonts w:hint="eastAsia" w:ascii="仿宋_GB2312" w:eastAsia="仿宋_GB2312"/>
          <w:sz w:val="32"/>
          <w:szCs w:val="32"/>
        </w:rPr>
        <w: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05220F21">
      <w:pPr>
        <w:adjustRightInd w:val="0"/>
        <w:snapToGrid w:val="0"/>
        <w:spacing w:line="336" w:lineRule="auto"/>
        <w:ind w:firstLine="640" w:firstLineChars="200"/>
        <w:jc w:val="both"/>
        <w:rPr>
          <w:rFonts w:ascii="仿宋_GB2312" w:eastAsia="仿宋_GB2312"/>
          <w:sz w:val="32"/>
          <w:szCs w:val="32"/>
        </w:rPr>
      </w:pPr>
      <w:r>
        <w:rPr>
          <w:rFonts w:hint="eastAsia" w:ascii="仿宋_GB2312" w:eastAsia="仿宋_GB2312"/>
          <w:sz w:val="32"/>
          <w:szCs w:val="32"/>
        </w:rPr>
        <w: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t>
      </w:r>
    </w:p>
    <w:p w14:paraId="2C3035FC">
      <w:pPr>
        <w:adjustRightInd w:val="0"/>
        <w:snapToGrid w:val="0"/>
        <w:spacing w:line="336" w:lineRule="auto"/>
        <w:ind w:firstLine="640" w:firstLineChars="200"/>
        <w:jc w:val="both"/>
        <w:rPr>
          <w:rFonts w:ascii="仿宋_GB2312" w:eastAsia="仿宋_GB2312"/>
          <w:sz w:val="32"/>
          <w:szCs w:val="32"/>
        </w:rPr>
      </w:pPr>
      <w:r>
        <w:rPr>
          <w:rFonts w:hint="eastAsia" w:ascii="仿宋_GB2312" w:eastAsia="仿宋_GB2312"/>
          <w:sz w:val="32"/>
          <w:szCs w:val="32"/>
        </w:rPr>
        <w:t>（六）政府有关部门在街道或道路中设置的行人隔离带（栏）、绿化带等视为障碍物，测量时应当按道路交通规则绕行。</w:t>
      </w:r>
    </w:p>
    <w:p w14:paraId="4A360BA1">
      <w:pPr>
        <w:adjustRightInd w:val="0"/>
        <w:snapToGrid w:val="0"/>
        <w:spacing w:line="336" w:lineRule="auto"/>
        <w:ind w:firstLine="640" w:firstLineChars="200"/>
        <w:jc w:val="both"/>
        <w:rPr>
          <w:rFonts w:ascii="仿宋_GB2312" w:eastAsia="仿宋_GB2312"/>
          <w:sz w:val="32"/>
          <w:szCs w:val="32"/>
        </w:rPr>
      </w:pPr>
      <w:r>
        <w:rPr>
          <w:rFonts w:hint="eastAsia" w:ascii="仿宋_GB2312" w:eastAsia="仿宋_GB2312"/>
          <w:sz w:val="32"/>
          <w:szCs w:val="32"/>
        </w:rPr>
        <w:t>（七）不视为障碍物的情形：在通行道路上临时设置的安全设施；临时放置的建筑材料、物品、车辆等；擅自设立、建造的建筑物、构筑物或其他物体等；以及因施工影响通行的围挡设施。</w:t>
      </w:r>
    </w:p>
    <w:p w14:paraId="3E5C7DBA">
      <w:pPr>
        <w:widowControl/>
        <w:adjustRightInd w:val="0"/>
        <w:snapToGrid w:val="0"/>
        <w:spacing w:before="86" w:line="336" w:lineRule="auto"/>
        <w:ind w:firstLine="640" w:firstLineChars="200"/>
        <w:jc w:val="left"/>
        <w:rPr>
          <w:rFonts w:ascii="黑体" w:hAnsi="黑体" w:eastAsia="黑体" w:cs="黑体"/>
          <w:sz w:val="32"/>
          <w:szCs w:val="32"/>
        </w:rPr>
      </w:pPr>
      <w:r>
        <w:rPr>
          <w:rFonts w:hint="eastAsia" w:ascii="黑体" w:hAnsi="黑体" w:eastAsia="黑体" w:cs="黑体"/>
          <w:sz w:val="32"/>
          <w:szCs w:val="32"/>
        </w:rPr>
        <w:t>二、测量标准</w:t>
      </w:r>
    </w:p>
    <w:p w14:paraId="2B549CC6">
      <w:pPr>
        <w:pStyle w:val="4"/>
        <w:adjustRightInd w:val="0"/>
        <w:snapToGrid w:val="0"/>
        <w:spacing w:after="0" w:line="336"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（一）店面同一侧无障碍物距离测量示意图，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间距。（如图1）</w:t>
      </w:r>
    </w:p>
    <w:p w14:paraId="124B6315">
      <w:pPr>
        <w:pStyle w:val="4"/>
        <w:spacing w:after="0" w:line="360" w:lineRule="auto"/>
        <w:ind w:right="2"/>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970020" cy="1910080"/>
            <wp:effectExtent l="0" t="0" r="11430" b="13970"/>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16"/>
                    <a:stretch>
                      <a:fillRect/>
                    </a:stretch>
                  </pic:blipFill>
                  <pic:spPr>
                    <a:xfrm>
                      <a:off x="0" y="0"/>
                      <a:ext cx="3970020" cy="1910080"/>
                    </a:xfrm>
                    <a:prstGeom prst="rect">
                      <a:avLst/>
                    </a:prstGeom>
                  </pic:spPr>
                </pic:pic>
              </a:graphicData>
            </a:graphic>
          </wp:inline>
        </w:drawing>
      </w:r>
    </w:p>
    <w:p w14:paraId="4C4CC4DE">
      <w:pPr>
        <w:pStyle w:val="4"/>
        <w:spacing w:after="0" w:line="360" w:lineRule="auto"/>
        <w:ind w:left="420" w:leftChars="200" w:right="2"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图1</w:t>
      </w:r>
    </w:p>
    <w:p w14:paraId="4F9E7184">
      <w:pPr>
        <w:pStyle w:val="4"/>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（二）店面同一侧有障碍物距离测量示意图，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间距=a+b+c+d+e。（如图2）</w:t>
      </w:r>
    </w:p>
    <w:p w14:paraId="40F4605A">
      <w:pPr>
        <w:pStyle w:val="4"/>
        <w:spacing w:after="0" w:line="360" w:lineRule="auto"/>
        <w:ind w:right="2" w:firstLine="643"/>
        <w:jc w:val="center"/>
        <w:rPr>
          <w:rFonts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drawing>
          <wp:inline distT="0" distB="0" distL="114300" distR="114300">
            <wp:extent cx="5229225" cy="1884045"/>
            <wp:effectExtent l="0" t="0" r="9525" b="1905"/>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17"/>
                    <a:stretch>
                      <a:fillRect/>
                    </a:stretch>
                  </pic:blipFill>
                  <pic:spPr>
                    <a:xfrm>
                      <a:off x="0" y="0"/>
                      <a:ext cx="5240217" cy="1887838"/>
                    </a:xfrm>
                    <a:prstGeom prst="rect">
                      <a:avLst/>
                    </a:prstGeom>
                  </pic:spPr>
                </pic:pic>
              </a:graphicData>
            </a:graphic>
          </wp:inline>
        </w:drawing>
      </w:r>
    </w:p>
    <w:p w14:paraId="535541EE">
      <w:pPr>
        <w:pStyle w:val="4"/>
        <w:spacing w:after="0" w:line="360" w:lineRule="auto"/>
        <w:ind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图2</w:t>
      </w:r>
    </w:p>
    <w:p w14:paraId="2E8A784C">
      <w:pPr>
        <w:pStyle w:val="4"/>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（三）申请点与参照零售点</w:t>
      </w:r>
      <w:r>
        <w:rPr>
          <w:rFonts w:hint="eastAsia" w:ascii="仿宋_GB2312" w:hAnsi="仿宋_GB2312" w:eastAsia="仿宋_GB2312" w:cs="仿宋_GB2312"/>
          <w:spacing w:val="10"/>
          <w:sz w:val="32"/>
          <w:szCs w:val="32"/>
        </w:rPr>
        <w:t>异侧无障碍物，且道路无隔离带（包括无任何禁止通行交通标志的路段或有可通行的单虚线）和斑马线情形，可安全步行的。</w:t>
      </w:r>
    </w:p>
    <w:p w14:paraId="14ABDC7F">
      <w:pPr>
        <w:pStyle w:val="4"/>
        <w:spacing w:after="0" w:line="360" w:lineRule="auto"/>
        <w:ind w:right="2" w:firstLine="68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1</w:t>
      </w:r>
      <w:r>
        <w:rPr>
          <w:rFonts w:ascii="仿宋_GB2312" w:hAnsi="仿宋_GB2312" w:eastAsia="仿宋_GB2312" w:cs="仿宋_GB2312"/>
          <w:spacing w:val="10"/>
          <w:sz w:val="32"/>
          <w:szCs w:val="32"/>
        </w:rPr>
        <w:t>.</w:t>
      </w:r>
      <w:r>
        <w:rPr>
          <w:rFonts w:hint="eastAsia" w:ascii="仿宋_GB2312" w:hAnsi="仿宋_GB2312" w:eastAsia="仿宋_GB2312" w:cs="仿宋_GB2312"/>
          <w:spacing w:val="10"/>
          <w:sz w:val="32"/>
          <w:szCs w:val="32"/>
        </w:rPr>
        <w:t>申请点与参照零售点对称的，间距=a（如图3.1）</w:t>
      </w:r>
    </w:p>
    <w:p w14:paraId="383FECAE">
      <w:pPr>
        <w:pStyle w:val="4"/>
        <w:spacing w:after="0" w:line="360" w:lineRule="auto"/>
        <w:ind w:right="3" w:firstLine="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934585" cy="2446020"/>
            <wp:effectExtent l="0" t="0" r="18415" b="11430"/>
            <wp:docPr id="7" name="图片 7"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3bdaea5065e1670b868335705003e0"/>
                    <pic:cNvPicPr>
                      <a:picLocks noChangeAspect="1"/>
                    </pic:cNvPicPr>
                  </pic:nvPicPr>
                  <pic:blipFill>
                    <a:blip r:embed="rId18"/>
                    <a:stretch>
                      <a:fillRect/>
                    </a:stretch>
                  </pic:blipFill>
                  <pic:spPr>
                    <a:xfrm>
                      <a:off x="0" y="0"/>
                      <a:ext cx="4934585" cy="2446020"/>
                    </a:xfrm>
                    <a:prstGeom prst="rect">
                      <a:avLst/>
                    </a:prstGeom>
                  </pic:spPr>
                </pic:pic>
              </a:graphicData>
            </a:graphic>
          </wp:inline>
        </w:drawing>
      </w:r>
    </w:p>
    <w:p w14:paraId="5CC2FC41">
      <w:pPr>
        <w:pStyle w:val="4"/>
        <w:spacing w:after="0" w:line="360" w:lineRule="auto"/>
        <w:ind w:right="3"/>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图3.1</w:t>
      </w:r>
    </w:p>
    <w:p w14:paraId="4C03622B">
      <w:pPr>
        <w:pStyle w:val="4"/>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pacing w:val="10"/>
          <w:sz w:val="32"/>
          <w:szCs w:val="32"/>
        </w:rPr>
        <w:t>申请点与参照零售点不对称的，间距=b（如图3.2）</w:t>
      </w:r>
    </w:p>
    <w:p w14:paraId="41D115DB">
      <w:pPr>
        <w:pStyle w:val="4"/>
        <w:spacing w:after="0" w:line="360" w:lineRule="auto"/>
        <w:ind w:right="2"/>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5015865" cy="2638425"/>
            <wp:effectExtent l="0" t="0" r="13335" b="9525"/>
            <wp:docPr id="8" name="图片 8"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ae0954c900ff944af7dff9ce511727"/>
                    <pic:cNvPicPr>
                      <a:picLocks noChangeAspect="1"/>
                    </pic:cNvPicPr>
                  </pic:nvPicPr>
                  <pic:blipFill>
                    <a:blip r:embed="rId19"/>
                    <a:stretch>
                      <a:fillRect/>
                    </a:stretch>
                  </pic:blipFill>
                  <pic:spPr>
                    <a:xfrm>
                      <a:off x="0" y="0"/>
                      <a:ext cx="5015865" cy="2638425"/>
                    </a:xfrm>
                    <a:prstGeom prst="rect">
                      <a:avLst/>
                    </a:prstGeom>
                  </pic:spPr>
                </pic:pic>
              </a:graphicData>
            </a:graphic>
          </wp:inline>
        </w:drawing>
      </w:r>
    </w:p>
    <w:p w14:paraId="45493153">
      <w:pPr>
        <w:pStyle w:val="4"/>
        <w:spacing w:after="0" w:line="360" w:lineRule="auto"/>
        <w:ind w:left="420" w:leftChars="200"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图3.2</w:t>
      </w:r>
      <w:r>
        <w:rPr>
          <w:rFonts w:hint="eastAsia" w:ascii="仿宋_GB2312" w:hAnsi="仿宋_GB2312" w:eastAsia="仿宋_GB2312" w:cs="仿宋_GB2312"/>
          <w:sz w:val="32"/>
          <w:szCs w:val="32"/>
          <w:lang w:bidi="ug-CN"/>
        </w:rPr>
        <w:tab/>
      </w:r>
    </w:p>
    <w:p w14:paraId="7F6A0BF0">
      <w:pPr>
        <w:pStyle w:val="4"/>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left"/>
        <w:textAlignment w:val="baseline"/>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（四）申请点与参照零售点</w:t>
      </w:r>
      <w:r>
        <w:rPr>
          <w:rFonts w:hint="eastAsia" w:ascii="仿宋_GB2312" w:hAnsi="仿宋_GB2312" w:eastAsia="仿宋_GB2312" w:cs="仿宋_GB2312"/>
          <w:spacing w:val="10"/>
          <w:sz w:val="32"/>
          <w:szCs w:val="32"/>
        </w:rPr>
        <w:t>异侧存在障碍物的，测量按直角分段绕过障碍物测量，分段距离之和即为申请人的经营场所与最近零售点的经营场所间的距离。间距=a+b+c（如图4）</w:t>
      </w:r>
    </w:p>
    <w:p w14:paraId="463AE120">
      <w:pPr>
        <w:pStyle w:val="4"/>
        <w:tabs>
          <w:tab w:val="left" w:pos="8197"/>
        </w:tabs>
        <w:spacing w:after="0"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rPr>
        <w:drawing>
          <wp:inline distT="0" distB="0" distL="114300" distR="114300">
            <wp:extent cx="5194300" cy="2293620"/>
            <wp:effectExtent l="0" t="0" r="6350" b="11430"/>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20"/>
                    <a:stretch>
                      <a:fillRect/>
                    </a:stretch>
                  </pic:blipFill>
                  <pic:spPr>
                    <a:xfrm>
                      <a:off x="0" y="0"/>
                      <a:ext cx="5194300" cy="2293620"/>
                    </a:xfrm>
                    <a:prstGeom prst="rect">
                      <a:avLst/>
                    </a:prstGeom>
                  </pic:spPr>
                </pic:pic>
              </a:graphicData>
            </a:graphic>
          </wp:inline>
        </w:drawing>
      </w:r>
    </w:p>
    <w:p w14:paraId="689A02CB">
      <w:pPr>
        <w:pStyle w:val="4"/>
        <w:tabs>
          <w:tab w:val="left" w:pos="8197"/>
        </w:tabs>
        <w:spacing w:after="0"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lang w:bidi="ug-CN"/>
        </w:rPr>
        <w:t>图4</w:t>
      </w:r>
    </w:p>
    <w:p w14:paraId="4B4DF089">
      <w:pPr>
        <w:pStyle w:val="4"/>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（五）店面背靠背距离测量示意图，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间距=a+b+c。（如图5）</w:t>
      </w:r>
    </w:p>
    <w:p w14:paraId="17437153">
      <w:pPr>
        <w:pStyle w:val="4"/>
        <w:spacing w:after="0" w:line="360" w:lineRule="auto"/>
        <w:ind w:right="3" w:firstLine="420" w:firstLineChars="200"/>
        <w:jc w:val="center"/>
        <w:rPr>
          <w:rFonts w:ascii="仿宋_GB2312" w:hAnsi="仿宋_GB2312" w:eastAsia="仿宋_GB2312" w:cs="仿宋_GB2312"/>
          <w:spacing w:val="10"/>
          <w:sz w:val="32"/>
          <w:szCs w:val="32"/>
        </w:rPr>
      </w:pPr>
      <w:r>
        <w:drawing>
          <wp:inline distT="0" distB="0" distL="114300" distR="114300">
            <wp:extent cx="3773170" cy="1861185"/>
            <wp:effectExtent l="0" t="0" r="1778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1">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p>
    <w:p w14:paraId="4116C11B">
      <w:pPr>
        <w:pStyle w:val="4"/>
        <w:spacing w:after="0" w:line="360" w:lineRule="auto"/>
        <w:ind w:right="3"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图5</w:t>
      </w:r>
    </w:p>
    <w:p w14:paraId="5E9E884B">
      <w:pPr>
        <w:pStyle w:val="4"/>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（六）店面隔着街道转角的，分别计算沿街店面的两边距离再相加，</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间距=a+b。（如图6）</w:t>
      </w:r>
    </w:p>
    <w:p w14:paraId="2DD951B2">
      <w:pPr>
        <w:pStyle w:val="4"/>
        <w:spacing w:after="0" w:line="360" w:lineRule="auto"/>
        <w:ind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768850" cy="2709545"/>
            <wp:effectExtent l="0" t="0" r="12700" b="14605"/>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22"/>
                    <a:srcRect t="17596"/>
                    <a:stretch>
                      <a:fillRect/>
                    </a:stretch>
                  </pic:blipFill>
                  <pic:spPr>
                    <a:xfrm>
                      <a:off x="0" y="0"/>
                      <a:ext cx="4768850" cy="2709545"/>
                    </a:xfrm>
                    <a:prstGeom prst="rect">
                      <a:avLst/>
                    </a:prstGeom>
                  </pic:spPr>
                </pic:pic>
              </a:graphicData>
            </a:graphic>
          </wp:inline>
        </w:drawing>
      </w:r>
    </w:p>
    <w:p w14:paraId="4BD728EE">
      <w:pPr>
        <w:pStyle w:val="4"/>
        <w:spacing w:after="0" w:line="360" w:lineRule="auto"/>
        <w:ind w:right="64"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图6</w:t>
      </w:r>
    </w:p>
    <w:p w14:paraId="210D43D4">
      <w:pPr>
        <w:pStyle w:val="4"/>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（七）十字路口</w:t>
      </w:r>
    </w:p>
    <w:p w14:paraId="55E85B48">
      <w:pPr>
        <w:pStyle w:val="4"/>
        <w:spacing w:after="0" w:line="360" w:lineRule="auto"/>
        <w:ind w:right="64"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申请点与参照零售点在十字路口中轴线同一半侧的道路对侧的，可参照道路对侧情况进行测量，按申请点门边至零售点门边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测量。具体测量办法视有无交通信号灯、人行横道或过街设施的路段以及障碍物情况而定。（如图7.1）</w:t>
      </w:r>
    </w:p>
    <w:p w14:paraId="0CD97C78">
      <w:pPr>
        <w:pStyle w:val="4"/>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23"/>
                    <a:stretch>
                      <a:fillRect/>
                    </a:stretch>
                  </pic:blipFill>
                  <pic:spPr>
                    <a:xfrm>
                      <a:off x="0" y="0"/>
                      <a:ext cx="3064510" cy="2741930"/>
                    </a:xfrm>
                    <a:prstGeom prst="rect">
                      <a:avLst/>
                    </a:prstGeom>
                  </pic:spPr>
                </pic:pic>
              </a:graphicData>
            </a:graphic>
          </wp:inline>
        </w:drawing>
      </w:r>
    </w:p>
    <w:p w14:paraId="672435A9">
      <w:pPr>
        <w:pStyle w:val="4"/>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图7.1</w:t>
      </w:r>
    </w:p>
    <w:p w14:paraId="24BEF707">
      <w:pPr>
        <w:pStyle w:val="4"/>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十字路口对角（有交通信号灯、人行横道或过街设施）</w:t>
      </w:r>
    </w:p>
    <w:p w14:paraId="304174A5">
      <w:pPr>
        <w:pStyle w:val="4"/>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测量。（如图7.2中存在a、b两条线路，取其中一条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7F84A489">
      <w:pPr>
        <w:pStyle w:val="4"/>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743200" cy="2446020"/>
            <wp:effectExtent l="0" t="0" r="0" b="11430"/>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24"/>
                    <a:stretch>
                      <a:fillRect/>
                    </a:stretch>
                  </pic:blipFill>
                  <pic:spPr>
                    <a:xfrm>
                      <a:off x="0" y="0"/>
                      <a:ext cx="2782892" cy="2481288"/>
                    </a:xfrm>
                    <a:prstGeom prst="rect">
                      <a:avLst/>
                    </a:prstGeom>
                  </pic:spPr>
                </pic:pic>
              </a:graphicData>
            </a:graphic>
          </wp:inline>
        </w:drawing>
      </w:r>
    </w:p>
    <w:p w14:paraId="015D2291">
      <w:pPr>
        <w:pStyle w:val="4"/>
        <w:spacing w:after="0" w:line="360" w:lineRule="auto"/>
        <w:ind w:left="420" w:leftChars="200" w:right="64"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图7.2</w:t>
      </w:r>
    </w:p>
    <w:p w14:paraId="15444506">
      <w:pPr>
        <w:pStyle w:val="4"/>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十字路口对角（无交通信号灯、人行横道或过街设施）</w:t>
      </w:r>
    </w:p>
    <w:p w14:paraId="5BE2C602">
      <w:pPr>
        <w:pStyle w:val="4"/>
        <w:adjustRightInd w:val="0"/>
        <w:snapToGrid w:val="0"/>
        <w:spacing w:after="0"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测量。（图7.3）</w:t>
      </w:r>
    </w:p>
    <w:p w14:paraId="7BECF98C">
      <w:pPr>
        <w:pStyle w:val="4"/>
        <w:spacing w:after="0" w:line="360" w:lineRule="auto"/>
        <w:ind w:right="64"/>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25"/>
                    <a:stretch>
                      <a:fillRect/>
                    </a:stretch>
                  </pic:blipFill>
                  <pic:spPr>
                    <a:xfrm>
                      <a:off x="0" y="0"/>
                      <a:ext cx="2703830" cy="2475865"/>
                    </a:xfrm>
                    <a:prstGeom prst="rect">
                      <a:avLst/>
                    </a:prstGeom>
                  </pic:spPr>
                </pic:pic>
              </a:graphicData>
            </a:graphic>
          </wp:inline>
        </w:drawing>
      </w:r>
    </w:p>
    <w:p w14:paraId="06DE915E">
      <w:pPr>
        <w:pStyle w:val="4"/>
        <w:spacing w:after="0" w:line="360" w:lineRule="auto"/>
        <w:ind w:right="64"/>
        <w:jc w:val="center"/>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图7.3</w:t>
      </w:r>
    </w:p>
    <w:p w14:paraId="43E2966A">
      <w:pPr>
        <w:pStyle w:val="4"/>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（八）中小学校、幼儿园的测量起始点为学校正常出入的校门口。有多个进出通道口的，选择距离零售点最短的进出通道口的门边，作为测量起始点。</w:t>
      </w:r>
    </w:p>
    <w:p w14:paraId="6F987DB2">
      <w:pPr>
        <w:pStyle w:val="4"/>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申请点与中小学校、幼儿园通道口之间距离测量示意图。（如图8）</w:t>
      </w:r>
    </w:p>
    <w:p w14:paraId="468344CD">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823210" cy="2129155"/>
            <wp:effectExtent l="0" t="0" r="15240" b="4445"/>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26"/>
                    <a:stretch>
                      <a:fillRect/>
                    </a:stretch>
                  </pic:blipFill>
                  <pic:spPr>
                    <a:xfrm>
                      <a:off x="0" y="0"/>
                      <a:ext cx="2844973" cy="2145560"/>
                    </a:xfrm>
                    <a:prstGeom prst="rect">
                      <a:avLst/>
                    </a:prstGeom>
                  </pic:spPr>
                </pic:pic>
              </a:graphicData>
            </a:graphic>
          </wp:inline>
        </w:drawing>
      </w:r>
    </w:p>
    <w:p w14:paraId="5E3BF3AE">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图8</w:t>
      </w:r>
    </w:p>
    <w:p w14:paraId="0C0A8FEC">
      <w:pPr>
        <w:pStyle w:val="4"/>
        <w:adjustRightInd w:val="0"/>
        <w:snapToGrid w:val="0"/>
        <w:spacing w:after="0" w:line="30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（九）申请点与参照零售点</w:t>
      </w:r>
      <w:r>
        <w:rPr>
          <w:rFonts w:hint="eastAsia" w:ascii="仿宋_GB2312" w:hAnsi="仿宋_GB2312" w:eastAsia="仿宋_GB2312" w:cs="仿宋_GB2312"/>
          <w:spacing w:val="10"/>
          <w:sz w:val="32"/>
          <w:szCs w:val="32"/>
        </w:rPr>
        <w:t>之间有道路隔离情形的：</w:t>
      </w:r>
    </w:p>
    <w:p w14:paraId="28AF5447">
      <w:pPr>
        <w:pStyle w:val="4"/>
        <w:adjustRightInd w:val="0"/>
        <w:snapToGrid w:val="0"/>
        <w:spacing w:after="0" w:line="300" w:lineRule="auto"/>
        <w:ind w:firstLine="680" w:firstLineChars="200"/>
        <w:jc w:val="left"/>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rPr>
        <w:t>1.</w:t>
      </w:r>
      <w:r>
        <w:rPr>
          <w:rFonts w:hint="eastAsia" w:ascii="仿宋_GB2312" w:hAnsi="仿宋_GB2312" w:eastAsia="仿宋_GB2312" w:cs="仿宋_GB2312"/>
          <w:spacing w:val="10"/>
          <w:sz w:val="32"/>
          <w:szCs w:val="32"/>
        </w:rPr>
        <w:t>主干道上有禁止行人行走隔离带的（包括禁止通行的双实线、单实线等交通标志），测量从隔离带最近开口处过斑马线、天桥等行人可安全步行通道，以直线距离为测量标准，申请点与参照零售点间距=a+b+c。（如图9.1）</w:t>
      </w:r>
    </w:p>
    <w:p w14:paraId="670D2285">
      <w:pPr>
        <w:pStyle w:val="4"/>
        <w:spacing w:after="0"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4128135" cy="2636520"/>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27">
                      <a:clrChange>
                        <a:clrFrom>
                          <a:srgbClr val="FBFCF7">
                            <a:alpha val="100000"/>
                          </a:srgbClr>
                        </a:clrFrom>
                        <a:clrTo>
                          <a:srgbClr val="FBFCF7">
                            <a:alpha val="100000"/>
                            <a:alpha val="0"/>
                          </a:srgbClr>
                        </a:clrTo>
                      </a:clrChange>
                    </a:blip>
                    <a:stretch>
                      <a:fillRect/>
                    </a:stretch>
                  </pic:blipFill>
                  <pic:spPr>
                    <a:xfrm>
                      <a:off x="0" y="0"/>
                      <a:ext cx="4138627" cy="2643022"/>
                    </a:xfrm>
                    <a:prstGeom prst="rect">
                      <a:avLst/>
                    </a:prstGeom>
                  </pic:spPr>
                </pic:pic>
              </a:graphicData>
            </a:graphic>
          </wp:inline>
        </w:drawing>
      </w:r>
    </w:p>
    <w:p w14:paraId="5FD7A793">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图9.1</w:t>
      </w:r>
    </w:p>
    <w:p w14:paraId="03C4E5C1">
      <w:pPr>
        <w:pStyle w:val="4"/>
        <w:adjustRightInd w:val="0"/>
        <w:snapToGrid w:val="0"/>
        <w:spacing w:after="0" w:line="300" w:lineRule="auto"/>
        <w:ind w:firstLine="680" w:firstLineChars="200"/>
        <w:jc w:val="left"/>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rPr>
        <w:t>2.</w:t>
      </w:r>
      <w:r>
        <w:rPr>
          <w:rFonts w:hint="eastAsia" w:ascii="仿宋_GB2312" w:hAnsi="仿宋_GB2312" w:eastAsia="仿宋_GB2312" w:cs="仿宋_GB2312"/>
          <w:spacing w:val="10"/>
          <w:sz w:val="32"/>
          <w:szCs w:val="32"/>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间距=a+b+c。（如图9.2）</w:t>
      </w:r>
    </w:p>
    <w:p w14:paraId="5152907C">
      <w:pPr>
        <w:pStyle w:val="4"/>
        <w:spacing w:after="0"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3262630" cy="1891030"/>
            <wp:effectExtent l="0" t="0" r="13970" b="13970"/>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28"/>
                    <a:srcRect t="11409"/>
                    <a:stretch>
                      <a:fillRect/>
                    </a:stretch>
                  </pic:blipFill>
                  <pic:spPr>
                    <a:xfrm>
                      <a:off x="0" y="0"/>
                      <a:ext cx="3316677" cy="1922333"/>
                    </a:xfrm>
                    <a:prstGeom prst="rect">
                      <a:avLst/>
                    </a:prstGeom>
                  </pic:spPr>
                </pic:pic>
              </a:graphicData>
            </a:graphic>
          </wp:inline>
        </w:drawing>
      </w:r>
      <w:bookmarkStart w:id="0" w:name="attache_title"/>
      <w:bookmarkEnd w:id="0"/>
      <w:bookmarkStart w:id="1" w:name="Fuzhu"/>
      <w:bookmarkEnd w:id="1"/>
    </w:p>
    <w:p w14:paraId="1F084E8C">
      <w:pPr>
        <w:spacing w:line="360" w:lineRule="auto"/>
        <w:ind w:right="-512" w:rightChars="-244"/>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图9.2</w:t>
      </w:r>
    </w:p>
    <w:p w14:paraId="123BA05C">
      <w:pPr>
        <w:pStyle w:val="4"/>
        <w:spacing w:after="0" w:line="360" w:lineRule="auto"/>
        <w:ind w:right="2" w:firstLine="68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（十）各类综合性商品批发市场、专业市场、集贸市场内部距离测量示意图，</w:t>
      </w:r>
      <w:r>
        <w:rPr>
          <w:rFonts w:hint="eastAsia" w:ascii="仿宋_GB2312" w:hAnsi="仿宋_GB2312" w:eastAsia="仿宋_GB2312" w:cs="仿宋_GB2312"/>
          <w:sz w:val="32"/>
          <w:szCs w:val="32"/>
        </w:rPr>
        <w:t>申请点与参照零售点间距</w:t>
      </w:r>
      <w:r>
        <w:rPr>
          <w:rFonts w:hint="eastAsia" w:ascii="仿宋_GB2312" w:hAnsi="仿宋_GB2312" w:eastAsia="仿宋_GB2312" w:cs="仿宋_GB2312"/>
          <w:spacing w:val="10"/>
          <w:sz w:val="32"/>
          <w:szCs w:val="32"/>
        </w:rPr>
        <w:t>=a+b+c。（如图10）</w:t>
      </w:r>
    </w:p>
    <w:p w14:paraId="0F05AF3B">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851275" cy="2245360"/>
            <wp:effectExtent l="0" t="0" r="15875"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29"/>
                    <a:stretch>
                      <a:fillRect/>
                    </a:stretch>
                  </pic:blipFill>
                  <pic:spPr>
                    <a:xfrm>
                      <a:off x="0" y="0"/>
                      <a:ext cx="3851275" cy="2245360"/>
                    </a:xfrm>
                    <a:prstGeom prst="rect">
                      <a:avLst/>
                    </a:prstGeom>
                  </pic:spPr>
                </pic:pic>
              </a:graphicData>
            </a:graphic>
          </wp:inline>
        </w:drawing>
      </w:r>
    </w:p>
    <w:p w14:paraId="0FC6D8DF">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图10</w:t>
      </w:r>
    </w:p>
    <w:p w14:paraId="2286E641">
      <w:pPr>
        <w:pStyle w:val="4"/>
        <w:spacing w:after="0" w:line="360" w:lineRule="auto"/>
        <w:ind w:right="2"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（十一）申请点与参照零售点</w:t>
      </w:r>
      <w:r>
        <w:rPr>
          <w:rFonts w:hint="eastAsia" w:ascii="仿宋_GB2312" w:hAnsi="仿宋_GB2312" w:eastAsia="仿宋_GB2312" w:cs="仿宋_GB2312"/>
          <w:spacing w:val="10"/>
          <w:sz w:val="32"/>
          <w:szCs w:val="32"/>
        </w:rPr>
        <w:t>的经营场所之间有台阶、楼梯的，以其平面坡长进行测量；有电梯的，以层高进行测量；楼梯与电梯并存的，以最短距离的为准。（如图11）</w:t>
      </w:r>
    </w:p>
    <w:p w14:paraId="669C21FB">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163185" cy="2213610"/>
            <wp:effectExtent l="0" t="0" r="18415" b="15240"/>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30"/>
                    <a:stretch>
                      <a:fillRect/>
                    </a:stretch>
                  </pic:blipFill>
                  <pic:spPr>
                    <a:xfrm>
                      <a:off x="0" y="0"/>
                      <a:ext cx="5163185" cy="2213610"/>
                    </a:xfrm>
                    <a:prstGeom prst="rect">
                      <a:avLst/>
                    </a:prstGeom>
                  </pic:spPr>
                </pic:pic>
              </a:graphicData>
            </a:graphic>
          </wp:inline>
        </w:drawing>
      </w:r>
    </w:p>
    <w:p w14:paraId="33FA7890">
      <w:pPr>
        <w:tabs>
          <w:tab w:val="left" w:pos="1331"/>
        </w:tabs>
        <w:spacing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图11</w:t>
      </w:r>
    </w:p>
    <w:p w14:paraId="747E4662">
      <w:pPr>
        <w:pStyle w:val="4"/>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（十二）申请点或零售点多门情况</w:t>
      </w:r>
    </w:p>
    <w:p w14:paraId="1ADCBA33">
      <w:pPr>
        <w:pStyle w:val="4"/>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申请人经营场所门面多面（多间）贯通且多面经营的，测量起始点的选取规则是：申请人与参照零售点之间距离最近的门面为起始点测量。</w:t>
      </w:r>
    </w:p>
    <w:p w14:paraId="10008A7E">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道路同侧情况</w:t>
      </w:r>
    </w:p>
    <w:p w14:paraId="5476FFA3">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申请点出入口较多，取与最近零售点经营场所最短的出入口进行测量。（如图12.1）</w:t>
      </w:r>
    </w:p>
    <w:p w14:paraId="3AACB4CA">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333875" cy="2213610"/>
            <wp:effectExtent l="0" t="0" r="9525" b="15240"/>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31"/>
                    <a:stretch>
                      <a:fillRect/>
                    </a:stretch>
                  </pic:blipFill>
                  <pic:spPr>
                    <a:xfrm rot="10800000" flipH="1" flipV="1">
                      <a:off x="0" y="0"/>
                      <a:ext cx="4333875" cy="2213610"/>
                    </a:xfrm>
                    <a:prstGeom prst="rect">
                      <a:avLst/>
                    </a:prstGeom>
                  </pic:spPr>
                </pic:pic>
              </a:graphicData>
            </a:graphic>
          </wp:inline>
        </w:drawing>
      </w:r>
    </w:p>
    <w:p w14:paraId="591047D8">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图12.1</w:t>
      </w:r>
    </w:p>
    <w:p w14:paraId="1E17693A">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十字路口情况</w:t>
      </w:r>
    </w:p>
    <w:p w14:paraId="2FCE2E0C">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（1）申请点与参照零售点在十字路口中轴线同一半侧的道路对侧的，取申请点至零售点最近一侧的门边，测量</w:t>
      </w:r>
      <w:r>
        <w:rPr>
          <w:rFonts w:hint="eastAsia" w:ascii="仿宋_GB2312" w:hAnsi="仿宋_GB2312" w:eastAsia="仿宋_GB2312" w:cs="仿宋_GB2312"/>
          <w:spacing w:val="10"/>
          <w:sz w:val="32"/>
          <w:szCs w:val="32"/>
        </w:rPr>
        <w:t>可安全步行的最短距离</w:t>
      </w:r>
      <w:r>
        <w:rPr>
          <w:rFonts w:hint="eastAsia" w:ascii="仿宋_GB2312" w:hAnsi="仿宋_GB2312" w:eastAsia="仿宋_GB2312" w:cs="仿宋_GB2312"/>
          <w:sz w:val="32"/>
          <w:szCs w:val="32"/>
        </w:rPr>
        <w:t>。具体测量办法视有无交通信号灯、人行横道或过街设施的路段以及障碍物情况而定。（如图12.2）</w:t>
      </w:r>
    </w:p>
    <w:p w14:paraId="585DFAD9">
      <w:pPr>
        <w:spacing w:line="360" w:lineRule="auto"/>
        <w:ind w:firstLine="640" w:firstLineChars="200"/>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2393315" cy="2199005"/>
            <wp:effectExtent l="0" t="0" r="6985" b="10795"/>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433119" cy="2235388"/>
                    </a:xfrm>
                    <a:prstGeom prst="rect">
                      <a:avLst/>
                    </a:prstGeom>
                    <a:noFill/>
                    <a:ln>
                      <a:noFill/>
                    </a:ln>
                  </pic:spPr>
                </pic:pic>
              </a:graphicData>
            </a:graphic>
          </wp:inline>
        </w:drawing>
      </w:r>
    </w:p>
    <w:p w14:paraId="69E90D2A">
      <w:pPr>
        <w:adjustRightInd w:val="0"/>
        <w:snapToGrid w:val="0"/>
        <w:spacing w:line="336"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图12.2</w:t>
      </w:r>
    </w:p>
    <w:p w14:paraId="110E2C68">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。（如图12.3存在多条线路取其中</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5C40B636">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31185" cy="2522855"/>
            <wp:effectExtent l="0" t="0" r="12065" b="10795"/>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33"/>
                    <a:stretch>
                      <a:fillRect/>
                    </a:stretch>
                  </pic:blipFill>
                  <pic:spPr>
                    <a:xfrm>
                      <a:off x="0" y="0"/>
                      <a:ext cx="3131185" cy="2522855"/>
                    </a:xfrm>
                    <a:prstGeom prst="rect">
                      <a:avLst/>
                    </a:prstGeom>
                  </pic:spPr>
                </pic:pic>
              </a:graphicData>
            </a:graphic>
          </wp:inline>
        </w:drawing>
      </w:r>
    </w:p>
    <w:p w14:paraId="2A40FB8F">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图12.3</w:t>
      </w:r>
    </w:p>
    <w:p w14:paraId="79361284">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。（如图12.4存在多条线路，取其中一条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241DE3E0">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34"/>
                    <a:stretch>
                      <a:fillRect/>
                    </a:stretch>
                  </pic:blipFill>
                  <pic:spPr>
                    <a:xfrm>
                      <a:off x="0" y="0"/>
                      <a:ext cx="3330575" cy="2741930"/>
                    </a:xfrm>
                    <a:prstGeom prst="rect">
                      <a:avLst/>
                    </a:prstGeom>
                  </pic:spPr>
                </pic:pic>
              </a:graphicData>
            </a:graphic>
          </wp:inline>
        </w:drawing>
      </w:r>
    </w:p>
    <w:p w14:paraId="73E5E1CA">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图12.4</w:t>
      </w:r>
    </w:p>
    <w:p w14:paraId="7FE3BBDF">
      <w:pPr>
        <w:pStyle w:val="4"/>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（十三）封闭式小区内部、广场等区域零售点的间距测量方法均以原设计道路、人行通道正常安全步行的最短距离进行测量。</w:t>
      </w:r>
    </w:p>
    <w:p w14:paraId="47E13301">
      <w:pPr>
        <w:pStyle w:val="4"/>
        <w:adjustRightInd w:val="0"/>
        <w:snapToGrid w:val="0"/>
        <w:spacing w:after="0" w:line="336" w:lineRule="auto"/>
        <w:ind w:firstLine="680" w:firstLineChars="200"/>
        <w:jc w:val="left"/>
        <w:rPr>
          <w:rFonts w:hint="eastAsia" w:ascii="仿宋_GB2312" w:hAnsi="Times New Roman" w:eastAsia="仿宋_GB2312" w:cs="Times New Roman"/>
          <w:snapToGrid/>
          <w:kern w:val="2"/>
          <w:sz w:val="32"/>
          <w:szCs w:val="32"/>
          <w:lang w:eastAsia="zh-CN"/>
        </w:rPr>
        <w:sectPr>
          <w:pgSz w:w="11916" w:h="16848"/>
          <w:pgMar w:top="1440" w:right="1803" w:bottom="1440" w:left="1803" w:header="850" w:footer="1531" w:gutter="0"/>
          <w:pgNumType w:fmt="numberInDash" w:start="1"/>
          <w:cols w:space="0" w:num="1"/>
          <w:titlePg/>
          <w:rtlGutter w:val="0"/>
          <w:docGrid w:linePitch="0" w:charSpace="0"/>
        </w:sectPr>
      </w:pPr>
      <w:r>
        <w:rPr>
          <w:rFonts w:hint="eastAsia" w:ascii="仿宋_GB2312" w:hAnsi="仿宋_GB2312" w:eastAsia="仿宋_GB2312" w:cs="仿宋_GB2312"/>
          <w:spacing w:val="10"/>
          <w:sz w:val="32"/>
          <w:szCs w:val="32"/>
        </w:rPr>
        <w:t>（十四）特殊地形测量：因地形、地貌或设计等原因导致道路、通道成不规则形态，通过前述方法无法测量的，以可安全步行最短距离进行测量</w:t>
      </w:r>
      <w:r>
        <w:rPr>
          <w:rFonts w:hint="eastAsia" w:ascii="仿宋_GB2312" w:hAnsi="仿宋_GB2312" w:eastAsia="仿宋_GB2312" w:cs="仿宋_GB2312"/>
          <w:spacing w:val="10"/>
          <w:sz w:val="32"/>
          <w:szCs w:val="32"/>
          <w:lang w:eastAsia="zh-CN"/>
        </w:rPr>
        <w:t>。</w:t>
      </w:r>
    </w:p>
    <w:p w14:paraId="66273F12">
      <w:pPr>
        <w:keepNext w:val="0"/>
        <w:keepLines w:val="0"/>
        <w:pageBreakBefore w:val="0"/>
        <w:widowControl w:val="0"/>
        <w:kinsoku/>
        <w:wordWrap/>
        <w:overflowPunct/>
        <w:topLinePunct w:val="0"/>
        <w:autoSpaceDE/>
        <w:autoSpaceDN/>
        <w:bidi w:val="0"/>
        <w:adjustRightInd w:val="0"/>
        <w:snapToGrid/>
        <w:spacing w:line="336" w:lineRule="auto"/>
        <w:jc w:val="both"/>
        <w:textAlignment w:val="auto"/>
        <w:rPr>
          <w:rFonts w:hint="eastAsia" w:ascii="仿宋_GB2312" w:hAnsi="Times New Roman" w:eastAsia="仿宋_GB2312" w:cs="Times New Roman"/>
          <w:snapToGrid/>
          <w:kern w:val="2"/>
          <w:sz w:val="32"/>
          <w:szCs w:val="32"/>
          <w:lang w:eastAsia="zh-CN"/>
        </w:rPr>
      </w:pPr>
    </w:p>
    <w:p w14:paraId="4F48D131">
      <w:pPr>
        <w:spacing w:before="104" w:line="224" w:lineRule="auto"/>
        <w:ind w:left="619"/>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附件2</w:t>
      </w:r>
    </w:p>
    <w:p w14:paraId="684BA3F1">
      <w:pPr>
        <w:widowControl w:val="0"/>
        <w:kinsoku/>
        <w:autoSpaceDE/>
        <w:autoSpaceDN/>
        <w:adjustRightInd/>
        <w:spacing w:line="317" w:lineRule="auto"/>
        <w:jc w:val="center"/>
        <w:textAlignment w:val="auto"/>
        <w:rPr>
          <w:rFonts w:ascii="方正小标宋简体" w:hAnsi="Times New Roman" w:eastAsia="方正小标宋简体" w:cs="Times New Roman"/>
          <w:snapToGrid/>
          <w:color w:val="FF0000"/>
          <w:kern w:val="2"/>
          <w:sz w:val="44"/>
          <w:szCs w:val="44"/>
          <w:lang w:eastAsia="zh-CN"/>
        </w:rPr>
      </w:pPr>
      <w:r>
        <w:rPr>
          <w:rFonts w:hint="eastAsia" w:ascii="方正小标宋简体" w:hAnsi="Times New Roman" w:eastAsia="方正小标宋简体" w:cs="Times New Roman"/>
          <w:snapToGrid/>
          <w:kern w:val="2"/>
          <w:sz w:val="44"/>
          <w:szCs w:val="44"/>
          <w:lang w:eastAsia="zh-CN"/>
        </w:rPr>
        <w:t>云南省</w:t>
      </w:r>
      <w:r>
        <w:rPr>
          <w:rFonts w:hint="eastAsia" w:ascii="方正小标宋简体" w:hAnsi="Times New Roman" w:eastAsia="方正小标宋简体" w:cs="Times New Roman"/>
          <w:snapToGrid/>
          <w:kern w:val="2"/>
          <w:sz w:val="44"/>
          <w:szCs w:val="44"/>
          <w:lang w:val="en-US" w:eastAsia="zh-Hans"/>
        </w:rPr>
        <w:t>新平彝族傣族自治</w:t>
      </w:r>
      <w:r>
        <w:rPr>
          <w:rFonts w:hint="eastAsia" w:ascii="方正小标宋简体" w:hAnsi="Times New Roman" w:eastAsia="方正小标宋简体" w:cs="Times New Roman"/>
          <w:snapToGrid/>
          <w:kern w:val="2"/>
          <w:sz w:val="44"/>
          <w:szCs w:val="44"/>
          <w:lang w:eastAsia="zh-CN"/>
        </w:rPr>
        <w:t>县烟草制品零售点合理布局公示表</w:t>
      </w:r>
    </w:p>
    <w:p w14:paraId="77F543F2">
      <w:pPr>
        <w:kinsoku/>
        <w:autoSpaceDE/>
        <w:autoSpaceDN/>
        <w:adjustRightInd/>
        <w:snapToGrid/>
        <w:textAlignment w:val="auto"/>
        <w:rPr>
          <w:rFonts w:ascii="方正小标宋简体" w:hAnsi="Times New Roman" w:eastAsia="方正小标宋简体" w:cs="Times New Roman"/>
          <w:snapToGrid/>
          <w:color w:val="FF0000"/>
          <w:kern w:val="2"/>
          <w:sz w:val="32"/>
          <w:szCs w:val="32"/>
          <w:lang w:eastAsia="zh-CN"/>
        </w:rPr>
      </w:pPr>
      <w:r>
        <w:rPr>
          <w:rFonts w:hint="eastAsia" w:eastAsia="宋体"/>
          <w:lang w:eastAsia="zh-CN"/>
        </w:rPr>
        <w:t>单位：</w:t>
      </w:r>
      <w:r>
        <w:rPr>
          <w:rFonts w:hint="eastAsia" w:eastAsia="宋体"/>
          <w:lang w:val="en-US" w:eastAsia="zh-Hans"/>
        </w:rPr>
        <w:t>云南省新平彝族傣族自治县烟</w:t>
      </w:r>
      <w:r>
        <w:rPr>
          <w:rFonts w:hint="eastAsia" w:ascii="宋体" w:hAnsi="宋体" w:eastAsia="宋体" w:cs="宋体"/>
          <w:lang w:eastAsia="zh-CN"/>
        </w:rPr>
        <w:t>草专卖局</w:t>
      </w:r>
      <w:r>
        <w:rPr>
          <w:rFonts w:hint="eastAsia" w:eastAsia="宋体"/>
          <w:lang w:eastAsia="zh-CN"/>
        </w:rPr>
        <w:t xml:space="preserve">（盖章）                               </w:t>
      </w:r>
      <w:r>
        <w:rPr>
          <w:rFonts w:hint="eastAsia" w:eastAsia="宋体"/>
          <w:color w:val="FF0000"/>
          <w:lang w:eastAsia="zh-CN"/>
        </w:rPr>
        <w:t xml:space="preserve">  公示时间：</w:t>
      </w:r>
      <w:r>
        <w:rPr>
          <w:rFonts w:hint="eastAsia"/>
          <w:color w:val="FF0000"/>
          <w:lang w:val="en-US" w:eastAsia="zh-CN"/>
        </w:rPr>
        <w:t>2026</w:t>
      </w:r>
      <w:r>
        <w:rPr>
          <w:color w:val="FF0000"/>
          <w:lang w:eastAsia="zh-CN"/>
        </w:rPr>
        <w:t>年</w:t>
      </w:r>
      <w:r>
        <w:rPr>
          <w:rFonts w:hint="eastAsia"/>
          <w:color w:val="FF0000"/>
          <w:lang w:val="en-US" w:eastAsia="zh-CN"/>
        </w:rPr>
        <w:t>XX</w:t>
      </w:r>
      <w:r>
        <w:rPr>
          <w:color w:val="FF0000"/>
          <w:lang w:eastAsia="zh-CN"/>
        </w:rPr>
        <w:t>月</w:t>
      </w:r>
      <w:r>
        <w:rPr>
          <w:rFonts w:hint="eastAsia"/>
          <w:color w:val="FF0000"/>
          <w:lang w:val="en-US" w:eastAsia="zh-CN"/>
        </w:rPr>
        <w:t>XX</w:t>
      </w:r>
      <w:r>
        <w:rPr>
          <w:color w:val="FF0000"/>
          <w:lang w:eastAsia="zh-CN"/>
        </w:rPr>
        <w:t>日</w:t>
      </w:r>
      <w:r>
        <w:rPr>
          <w:rFonts w:hint="eastAsia"/>
          <w:color w:val="FF0000"/>
          <w:lang w:val="en-US" w:eastAsia="zh-CN"/>
        </w:rPr>
        <w:t>-2026</w:t>
      </w:r>
      <w:r>
        <w:rPr>
          <w:color w:val="FF0000"/>
          <w:lang w:eastAsia="zh-CN"/>
        </w:rPr>
        <w:t>年</w:t>
      </w:r>
      <w:r>
        <w:rPr>
          <w:rFonts w:hint="eastAsia"/>
          <w:color w:val="FF0000"/>
          <w:lang w:val="en-US" w:eastAsia="zh-CN"/>
        </w:rPr>
        <w:t>XX</w:t>
      </w:r>
      <w:r>
        <w:rPr>
          <w:color w:val="FF0000"/>
          <w:lang w:eastAsia="zh-CN"/>
        </w:rPr>
        <w:t>月</w:t>
      </w:r>
      <w:r>
        <w:rPr>
          <w:rFonts w:hint="eastAsia"/>
          <w:color w:val="FF0000"/>
          <w:lang w:val="en-US" w:eastAsia="zh-CN"/>
        </w:rPr>
        <w:t>XX</w:t>
      </w:r>
      <w:r>
        <w:rPr>
          <w:color w:val="FF0000"/>
          <w:lang w:eastAsia="zh-CN"/>
        </w:rPr>
        <w:t>日</w:t>
      </w:r>
    </w:p>
    <w:tbl>
      <w:tblPr>
        <w:tblStyle w:val="9"/>
        <w:tblpPr w:leftFromText="180" w:rightFromText="180" w:vertAnchor="text" w:horzAnchor="page" w:tblpXSpec="center" w:tblpY="44"/>
        <w:tblOverlap w:val="never"/>
        <w:tblW w:w="15256" w:type="dxa"/>
        <w:jc w:val="center"/>
        <w:tblLayout w:type="fixed"/>
        <w:tblCellMar>
          <w:top w:w="0" w:type="dxa"/>
          <w:left w:w="108" w:type="dxa"/>
          <w:bottom w:w="0" w:type="dxa"/>
          <w:right w:w="108" w:type="dxa"/>
        </w:tblCellMar>
      </w:tblPr>
      <w:tblGrid>
        <w:gridCol w:w="516"/>
        <w:gridCol w:w="1354"/>
        <w:gridCol w:w="2131"/>
        <w:gridCol w:w="735"/>
        <w:gridCol w:w="870"/>
        <w:gridCol w:w="630"/>
        <w:gridCol w:w="2985"/>
        <w:gridCol w:w="4380"/>
        <w:gridCol w:w="949"/>
        <w:gridCol w:w="706"/>
      </w:tblGrid>
      <w:tr w14:paraId="1E9D4F16">
        <w:tblPrEx>
          <w:tblCellMar>
            <w:top w:w="0" w:type="dxa"/>
            <w:left w:w="108" w:type="dxa"/>
            <w:bottom w:w="0" w:type="dxa"/>
            <w:right w:w="108" w:type="dxa"/>
          </w:tblCellMar>
        </w:tblPrEx>
        <w:trPr>
          <w:trHeight w:val="487"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795D">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名称</w:t>
            </w:r>
          </w:p>
        </w:tc>
        <w:tc>
          <w:tcPr>
            <w:tcW w:w="34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A1AF">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单元网格划分情况</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0373">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单元网格数量情况</w:t>
            </w:r>
          </w:p>
        </w:tc>
        <w:tc>
          <w:tcPr>
            <w:tcW w:w="73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0D1F">
            <w:pPr>
              <w:jc w:val="center"/>
              <w:textAlignment w:val="center"/>
              <w:rPr>
                <w:rFonts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单元网格距离情况</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9429">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总量情况</w:t>
            </w:r>
          </w:p>
        </w:tc>
        <w:tc>
          <w:tcPr>
            <w:tcW w:w="706" w:type="dxa"/>
            <w:vMerge w:val="restart"/>
            <w:tcBorders>
              <w:top w:val="single" w:color="000000" w:sz="4" w:space="0"/>
              <w:left w:val="single" w:color="000000" w:sz="4" w:space="0"/>
              <w:right w:val="single" w:color="000000" w:sz="4" w:space="0"/>
            </w:tcBorders>
            <w:shd w:val="clear" w:color="auto" w:fill="auto"/>
            <w:noWrap/>
            <w:vAlign w:val="center"/>
          </w:tcPr>
          <w:p w14:paraId="108FCE6F">
            <w:pPr>
              <w:jc w:val="center"/>
              <w:textAlignment w:val="center"/>
              <w:rPr>
                <w:rFonts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备注</w:t>
            </w:r>
          </w:p>
        </w:tc>
      </w:tr>
      <w:tr w14:paraId="06232F37">
        <w:tblPrEx>
          <w:tblCellMar>
            <w:top w:w="0" w:type="dxa"/>
            <w:left w:w="108" w:type="dxa"/>
            <w:bottom w:w="0" w:type="dxa"/>
            <w:right w:w="108" w:type="dxa"/>
          </w:tblCellMar>
        </w:tblPrEx>
        <w:trPr>
          <w:trHeight w:val="585" w:hRule="atLeast"/>
          <w:jc w:val="center"/>
        </w:trPr>
        <w:tc>
          <w:tcPr>
            <w:tcW w:w="516" w:type="dxa"/>
            <w:vMerge w:val="restart"/>
            <w:tcBorders>
              <w:top w:val="single" w:color="000000" w:sz="4" w:space="0"/>
              <w:left w:val="single" w:color="000000" w:sz="4" w:space="0"/>
              <w:right w:val="single" w:color="000000" w:sz="4" w:space="0"/>
            </w:tcBorders>
            <w:shd w:val="clear" w:color="auto" w:fill="auto"/>
            <w:vAlign w:val="center"/>
          </w:tcPr>
          <w:p w14:paraId="4D0A0E49">
            <w:pPr>
              <w:jc w:val="center"/>
              <w:textAlignment w:val="center"/>
              <w:rPr>
                <w:rFonts w:ascii="宋体" w:hAnsi="宋体" w:eastAsia="宋体" w:cs="宋体"/>
                <w:color w:val="auto"/>
                <w:sz w:val="18"/>
                <w:szCs w:val="18"/>
              </w:rPr>
            </w:pPr>
            <w:r>
              <w:rPr>
                <w:rFonts w:hint="eastAsia" w:ascii="宋体" w:hAnsi="宋体" w:eastAsia="宋体" w:cs="宋体"/>
                <w:color w:val="auto"/>
                <w:sz w:val="18"/>
                <w:szCs w:val="18"/>
                <w:lang w:val="en-US" w:eastAsia="zh-Hans" w:bidi="ar"/>
              </w:rPr>
              <w:t>新平</w:t>
            </w:r>
            <w:r>
              <w:rPr>
                <w:rFonts w:hint="eastAsia" w:ascii="宋体" w:hAnsi="宋体" w:eastAsia="宋体" w:cs="宋体"/>
                <w:color w:val="auto"/>
                <w:sz w:val="18"/>
                <w:szCs w:val="18"/>
                <w:lang w:eastAsia="zh-CN" w:bidi="ar"/>
              </w:rPr>
              <w:t>县</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E84B">
            <w:pPr>
              <w:jc w:val="center"/>
              <w:textAlignment w:val="center"/>
              <w:rPr>
                <w:rFonts w:ascii="宋体" w:hAnsi="宋体" w:eastAsia="宋体" w:cs="宋体"/>
                <w:color w:val="auto"/>
                <w:sz w:val="18"/>
                <w:szCs w:val="18"/>
              </w:rPr>
            </w:pPr>
            <w:r>
              <w:rPr>
                <w:rFonts w:hint="eastAsia" w:ascii="宋体" w:hAnsi="宋体" w:eastAsia="宋体" w:cs="宋体"/>
                <w:color w:val="auto"/>
                <w:sz w:val="18"/>
                <w:szCs w:val="18"/>
                <w:lang w:eastAsia="zh-CN" w:bidi="ar"/>
              </w:rPr>
              <w:t>名称</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2037">
            <w:pPr>
              <w:jc w:val="center"/>
              <w:textAlignment w:val="center"/>
              <w:rPr>
                <w:rFonts w:ascii="宋体" w:hAnsi="宋体" w:eastAsia="宋体" w:cs="宋体"/>
                <w:color w:val="auto"/>
                <w:sz w:val="18"/>
                <w:szCs w:val="18"/>
              </w:rPr>
            </w:pPr>
            <w:r>
              <w:rPr>
                <w:rFonts w:hint="eastAsia" w:ascii="宋体" w:hAnsi="宋体" w:eastAsia="宋体" w:cs="宋体"/>
                <w:color w:val="auto"/>
                <w:sz w:val="18"/>
                <w:szCs w:val="18"/>
                <w:lang w:eastAsia="zh-CN" w:bidi="ar"/>
              </w:rPr>
              <w:t>区域描述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BCD1">
            <w:pPr>
              <w:jc w:val="center"/>
              <w:textAlignment w:val="center"/>
              <w:rPr>
                <w:rFonts w:ascii="宋体" w:hAnsi="宋体" w:eastAsia="宋体" w:cs="宋体"/>
                <w:color w:val="auto"/>
                <w:sz w:val="18"/>
                <w:szCs w:val="18"/>
              </w:rPr>
            </w:pPr>
            <w:r>
              <w:rPr>
                <w:rFonts w:hint="eastAsia" w:ascii="宋体" w:hAnsi="宋体" w:eastAsia="宋体" w:cs="宋体"/>
                <w:color w:val="auto"/>
                <w:sz w:val="18"/>
                <w:szCs w:val="18"/>
                <w:lang w:eastAsia="zh-CN" w:bidi="ar"/>
              </w:rPr>
              <w:t>规划数（个）</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1EF1">
            <w:pPr>
              <w:jc w:val="center"/>
              <w:textAlignment w:val="center"/>
              <w:rPr>
                <w:rFonts w:ascii="宋体" w:hAnsi="宋体" w:eastAsia="宋体" w:cs="宋体"/>
                <w:color w:val="auto"/>
                <w:sz w:val="18"/>
                <w:szCs w:val="18"/>
              </w:rPr>
            </w:pPr>
            <w:r>
              <w:rPr>
                <w:rFonts w:hint="eastAsia" w:ascii="宋体" w:hAnsi="宋体" w:eastAsia="宋体" w:cs="宋体"/>
                <w:color w:val="auto"/>
                <w:sz w:val="18"/>
                <w:szCs w:val="18"/>
                <w:lang w:eastAsia="zh-CN" w:bidi="ar"/>
              </w:rPr>
              <w:t>当前实际数（个）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249B">
            <w:pPr>
              <w:jc w:val="center"/>
              <w:textAlignment w:val="center"/>
              <w:rPr>
                <w:rFonts w:ascii="宋体" w:hAnsi="宋体" w:eastAsia="宋体" w:cs="宋体"/>
                <w:color w:val="auto"/>
                <w:sz w:val="18"/>
                <w:szCs w:val="18"/>
              </w:rPr>
            </w:pPr>
            <w:r>
              <w:rPr>
                <w:rFonts w:hint="eastAsia" w:ascii="宋体" w:hAnsi="宋体" w:eastAsia="宋体" w:cs="宋体"/>
                <w:color w:val="auto"/>
                <w:sz w:val="18"/>
                <w:szCs w:val="18"/>
                <w:lang w:eastAsia="zh-CN" w:bidi="ar"/>
              </w:rPr>
              <w:t>余量（个）</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14:paraId="5894FC94">
            <w:pPr>
              <w:jc w:val="center"/>
              <w:textAlignment w:val="center"/>
              <w:rPr>
                <w:rFonts w:hint="eastAsia" w:ascii="宋体" w:hAnsi="宋体" w:eastAsia="宋体" w:cs="宋体"/>
                <w:color w:val="auto"/>
                <w:sz w:val="18"/>
                <w:szCs w:val="18"/>
                <w:lang w:eastAsia="zh-CN" w:bidi="ar"/>
              </w:rPr>
            </w:pPr>
            <w:r>
              <w:rPr>
                <w:rFonts w:hint="eastAsia" w:ascii="宋体" w:hAnsi="宋体" w:eastAsia="宋体" w:cs="宋体"/>
                <w:color w:val="auto"/>
                <w:sz w:val="18"/>
                <w:szCs w:val="18"/>
                <w:lang w:eastAsia="zh-CN" w:bidi="ar"/>
              </w:rPr>
              <w:t>零售点间距</w:t>
            </w:r>
          </w:p>
          <w:p w14:paraId="6CA3B3E4">
            <w:pPr>
              <w:jc w:val="center"/>
              <w:textAlignment w:val="center"/>
              <w:rPr>
                <w:rFonts w:hint="eastAsia" w:ascii="宋体" w:hAnsi="宋体" w:eastAsia="宋体" w:cs="宋体"/>
                <w:color w:val="auto"/>
                <w:sz w:val="18"/>
                <w:szCs w:val="18"/>
                <w:lang w:eastAsia="zh-CN" w:bidi="ar"/>
              </w:rPr>
            </w:pPr>
            <w:r>
              <w:rPr>
                <w:rFonts w:hint="eastAsia" w:ascii="宋体" w:hAnsi="宋体" w:eastAsia="宋体" w:cs="宋体"/>
                <w:color w:val="auto"/>
                <w:sz w:val="18"/>
                <w:szCs w:val="18"/>
                <w:lang w:eastAsia="zh-CN" w:bidi="ar"/>
              </w:rPr>
              <w:t>（米）</w:t>
            </w:r>
          </w:p>
        </w:tc>
        <w:tc>
          <w:tcPr>
            <w:tcW w:w="4380" w:type="dxa"/>
            <w:tcBorders>
              <w:top w:val="single" w:color="000000" w:sz="4" w:space="0"/>
              <w:left w:val="single" w:color="000000" w:sz="4" w:space="0"/>
              <w:bottom w:val="single" w:color="auto" w:sz="4" w:space="0"/>
              <w:right w:val="single" w:color="000000" w:sz="4" w:space="0"/>
            </w:tcBorders>
            <w:shd w:val="clear" w:color="auto" w:fill="auto"/>
            <w:vAlign w:val="center"/>
          </w:tcPr>
          <w:p w14:paraId="5CE7ECE8">
            <w:pPr>
              <w:jc w:val="center"/>
              <w:textAlignment w:val="center"/>
              <w:rPr>
                <w:rFonts w:hint="eastAsia" w:ascii="宋体" w:hAnsi="宋体" w:eastAsia="宋体" w:cs="宋体"/>
                <w:color w:val="auto"/>
                <w:sz w:val="18"/>
                <w:szCs w:val="18"/>
                <w:lang w:eastAsia="zh-CN" w:bidi="ar"/>
              </w:rPr>
            </w:pPr>
            <w:r>
              <w:rPr>
                <w:rFonts w:hint="eastAsia" w:ascii="宋体" w:hAnsi="宋体" w:eastAsia="宋体" w:cs="宋体"/>
                <w:color w:val="auto"/>
                <w:sz w:val="18"/>
                <w:szCs w:val="18"/>
                <w:lang w:eastAsia="zh-CN" w:bidi="ar"/>
              </w:rPr>
              <w:t>其他条件描述</w:t>
            </w:r>
          </w:p>
        </w:tc>
        <w:tc>
          <w:tcPr>
            <w:tcW w:w="949" w:type="dxa"/>
            <w:tcBorders>
              <w:top w:val="single" w:color="000000" w:sz="4" w:space="0"/>
              <w:left w:val="single" w:color="000000" w:sz="4" w:space="0"/>
              <w:bottom w:val="single" w:color="auto" w:sz="4" w:space="0"/>
              <w:right w:val="single" w:color="000000" w:sz="4" w:space="0"/>
            </w:tcBorders>
            <w:shd w:val="clear" w:color="auto" w:fill="auto"/>
            <w:vAlign w:val="center"/>
          </w:tcPr>
          <w:p w14:paraId="7F0A1967">
            <w:pPr>
              <w:jc w:val="center"/>
              <w:textAlignment w:val="center"/>
              <w:rPr>
                <w:rFonts w:hint="eastAsia" w:ascii="宋体" w:hAnsi="宋体" w:eastAsia="宋体" w:cs="宋体"/>
                <w:color w:val="auto"/>
                <w:sz w:val="18"/>
                <w:szCs w:val="18"/>
                <w:lang w:eastAsia="zh-CN" w:bidi="ar"/>
              </w:rPr>
            </w:pPr>
            <w:r>
              <w:rPr>
                <w:rFonts w:hint="eastAsia" w:ascii="宋体" w:hAnsi="宋体" w:eastAsia="宋体" w:cs="宋体"/>
                <w:color w:val="auto"/>
                <w:sz w:val="18"/>
                <w:szCs w:val="18"/>
                <w:lang w:val="en-US" w:eastAsia="zh-Hans" w:bidi="ar"/>
              </w:rPr>
              <w:t>新平</w:t>
            </w:r>
            <w:r>
              <w:rPr>
                <w:rFonts w:hint="eastAsia" w:ascii="宋体" w:hAnsi="宋体" w:eastAsia="宋体" w:cs="宋体"/>
                <w:color w:val="auto"/>
                <w:sz w:val="18"/>
                <w:szCs w:val="18"/>
                <w:lang w:eastAsia="zh-CN" w:bidi="ar"/>
              </w:rPr>
              <w:t>县总量规划数（个）</w:t>
            </w:r>
          </w:p>
        </w:tc>
        <w:tc>
          <w:tcPr>
            <w:tcW w:w="706" w:type="dxa"/>
            <w:vMerge w:val="continue"/>
            <w:tcBorders>
              <w:left w:val="single" w:color="000000" w:sz="4" w:space="0"/>
              <w:bottom w:val="single" w:color="auto" w:sz="4" w:space="0"/>
              <w:right w:val="single" w:color="000000" w:sz="4" w:space="0"/>
            </w:tcBorders>
            <w:shd w:val="clear" w:color="auto" w:fill="auto"/>
            <w:vAlign w:val="center"/>
          </w:tcPr>
          <w:p w14:paraId="47323C22">
            <w:pPr>
              <w:jc w:val="center"/>
              <w:textAlignment w:val="center"/>
              <w:rPr>
                <w:rFonts w:ascii="宋体" w:hAnsi="宋体" w:eastAsia="宋体" w:cs="宋体"/>
                <w:color w:val="auto"/>
                <w:sz w:val="22"/>
                <w:szCs w:val="22"/>
                <w:lang w:eastAsia="zh-CN"/>
              </w:rPr>
            </w:pPr>
          </w:p>
        </w:tc>
      </w:tr>
      <w:tr w14:paraId="02449D3B">
        <w:tblPrEx>
          <w:tblCellMar>
            <w:top w:w="0" w:type="dxa"/>
            <w:left w:w="108" w:type="dxa"/>
            <w:bottom w:w="0" w:type="dxa"/>
            <w:right w:w="108" w:type="dxa"/>
          </w:tblCellMar>
        </w:tblPrEx>
        <w:trPr>
          <w:trHeight w:val="1211" w:hRule="atLeast"/>
          <w:jc w:val="center"/>
        </w:trPr>
        <w:tc>
          <w:tcPr>
            <w:tcW w:w="516" w:type="dxa"/>
            <w:vMerge w:val="continue"/>
            <w:tcBorders>
              <w:left w:val="single" w:color="000000" w:sz="4" w:space="0"/>
              <w:right w:val="single" w:color="000000" w:sz="4" w:space="0"/>
            </w:tcBorders>
            <w:shd w:val="clear" w:color="auto" w:fill="auto"/>
            <w:vAlign w:val="center"/>
          </w:tcPr>
          <w:p w14:paraId="1ED2F526">
            <w:pPr>
              <w:jc w:val="center"/>
              <w:rPr>
                <w:rFonts w:ascii="宋体" w:hAnsi="宋体" w:eastAsia="宋体" w:cs="宋体"/>
                <w:color w:val="auto"/>
                <w:sz w:val="18"/>
                <w:szCs w:val="18"/>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FFAF">
            <w:pPr>
              <w:jc w:val="center"/>
              <w:textAlignment w:val="center"/>
              <w:rPr>
                <w:rFonts w:hint="eastAsia" w:ascii="宋体" w:hAnsi="宋体" w:eastAsia="宋体" w:cs="宋体"/>
                <w:color w:val="auto"/>
                <w:sz w:val="18"/>
                <w:szCs w:val="18"/>
                <w:lang w:eastAsia="zh-Hans"/>
              </w:rPr>
            </w:pPr>
            <w:r>
              <w:rPr>
                <w:rFonts w:hint="eastAsia" w:ascii="宋体" w:hAnsi="宋体" w:eastAsia="宋体" w:cs="宋体"/>
                <w:color w:val="auto"/>
                <w:sz w:val="18"/>
                <w:szCs w:val="18"/>
                <w:lang w:val="en-US" w:eastAsia="zh-Hans" w:bidi="ar"/>
              </w:rPr>
              <w:t>桂山街道</w:t>
            </w:r>
            <w:r>
              <w:rPr>
                <w:rFonts w:hint="default" w:ascii="宋体" w:hAnsi="宋体" w:eastAsia="宋体" w:cs="宋体"/>
                <w:color w:val="auto"/>
                <w:sz w:val="18"/>
                <w:szCs w:val="18"/>
                <w:lang w:eastAsia="zh-Hans" w:bidi="ar"/>
              </w:rPr>
              <w:t>-1</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0E5F">
            <w:pPr>
              <w:jc w:val="center"/>
              <w:textAlignment w:val="center"/>
              <w:rPr>
                <w:rFonts w:ascii="宋体" w:hAnsi="宋体" w:eastAsia="宋体" w:cs="宋体"/>
                <w:color w:val="auto"/>
                <w:sz w:val="18"/>
                <w:szCs w:val="18"/>
              </w:rPr>
            </w:pPr>
            <w:r>
              <w:rPr>
                <w:rFonts w:hint="eastAsia" w:ascii="宋体" w:hAnsi="宋体" w:eastAsia="宋体" w:cs="宋体"/>
                <w:sz w:val="18"/>
                <w:szCs w:val="18"/>
                <w:lang w:val="en-US" w:eastAsia="zh-CN"/>
              </w:rPr>
              <w:t>桂</w:t>
            </w:r>
            <w:r>
              <w:rPr>
                <w:rFonts w:hint="eastAsia" w:ascii="宋体" w:hAnsi="宋体" w:eastAsia="宋体" w:cs="宋体"/>
                <w:sz w:val="18"/>
                <w:szCs w:val="18"/>
                <w:lang w:val="en-US" w:eastAsia="zh-Hans"/>
              </w:rPr>
              <w:t>园</w:t>
            </w:r>
            <w:r>
              <w:rPr>
                <w:rFonts w:hint="eastAsia" w:ascii="宋体" w:hAnsi="宋体" w:eastAsia="宋体" w:cs="宋体"/>
                <w:sz w:val="18"/>
                <w:szCs w:val="18"/>
                <w:lang w:val="en-US" w:eastAsia="zh-CN"/>
              </w:rPr>
              <w:t>路</w:t>
            </w:r>
            <w:r>
              <w:rPr>
                <w:rFonts w:hint="eastAsia" w:ascii="宋体" w:hAnsi="宋体" w:eastAsia="宋体" w:cs="宋体"/>
                <w:sz w:val="18"/>
                <w:szCs w:val="18"/>
                <w:lang w:eastAsia="zh-CN"/>
              </w:rPr>
              <w:t>至育新路至平山路</w:t>
            </w:r>
            <w:r>
              <w:rPr>
                <w:rFonts w:hint="eastAsia" w:ascii="宋体" w:hAnsi="宋体" w:eastAsia="宋体" w:cs="宋体"/>
                <w:sz w:val="18"/>
                <w:szCs w:val="18"/>
                <w:lang w:val="en-US" w:eastAsia="zh-CN"/>
              </w:rPr>
              <w:t>至</w:t>
            </w:r>
            <w:r>
              <w:rPr>
                <w:rFonts w:hint="eastAsia" w:ascii="宋体" w:hAnsi="宋体" w:eastAsia="宋体" w:cs="宋体"/>
                <w:sz w:val="18"/>
                <w:szCs w:val="18"/>
                <w:lang w:val="en-US" w:eastAsia="zh-Hans"/>
              </w:rPr>
              <w:t>文化路以西片区</w:t>
            </w:r>
            <w:r>
              <w:rPr>
                <w:rFonts w:hint="eastAsia" w:ascii="宋体" w:hAnsi="宋体" w:eastAsia="宋体" w:cs="宋体"/>
                <w:sz w:val="18"/>
                <w:szCs w:val="18"/>
                <w:lang w:eastAsia="zh-CN"/>
              </w:rPr>
              <w:t>至</w:t>
            </w:r>
            <w:r>
              <w:rPr>
                <w:rFonts w:hint="eastAsia" w:ascii="宋体" w:hAnsi="宋体" w:eastAsia="宋体" w:cs="宋体"/>
                <w:sz w:val="18"/>
                <w:szCs w:val="18"/>
                <w:lang w:val="en-US" w:eastAsia="zh-Hans"/>
              </w:rPr>
              <w:t>河滨路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76B3">
            <w:pPr>
              <w:jc w:val="center"/>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195</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FAEA">
            <w:pPr>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179</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0849614B">
            <w:pPr>
              <w:jc w:val="center"/>
              <w:textAlignment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16</w:t>
            </w:r>
          </w:p>
        </w:tc>
        <w:tc>
          <w:tcPr>
            <w:tcW w:w="2985" w:type="dxa"/>
            <w:vMerge w:val="restart"/>
            <w:tcBorders>
              <w:top w:val="single" w:color="auto" w:sz="4" w:space="0"/>
              <w:left w:val="single" w:color="auto" w:sz="4" w:space="0"/>
              <w:right w:val="single" w:color="000000" w:sz="4" w:space="0"/>
            </w:tcBorders>
            <w:shd w:val="clear" w:color="auto" w:fill="auto"/>
            <w:vAlign w:val="center"/>
          </w:tcPr>
          <w:p w14:paraId="5A60AEE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12" w:lineRule="auto"/>
              <w:textAlignment w:val="baseline"/>
              <w:rPr>
                <w:rFonts w:hint="eastAsia" w:asciiTheme="minorEastAsia" w:hAnsiTheme="minorEastAsia" w:eastAsiaTheme="minorEastAsia" w:cstheme="minorEastAsia"/>
                <w:sz w:val="18"/>
                <w:szCs w:val="18"/>
              </w:rPr>
            </w:pPr>
          </w:p>
          <w:p w14:paraId="1AD8E4A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12" w:lineRule="auto"/>
              <w:textAlignment w:val="baseline"/>
              <w:rPr>
                <w:rFonts w:hint="eastAsia" w:asciiTheme="minorEastAsia" w:hAnsiTheme="minorEastAsia" w:eastAsiaTheme="minorEastAsia" w:cstheme="minorEastAsia"/>
                <w:sz w:val="18"/>
                <w:szCs w:val="18"/>
              </w:rPr>
            </w:pPr>
          </w:p>
          <w:p w14:paraId="78C25CD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12" w:lineRule="auto"/>
              <w:textAlignment w:val="baseline"/>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城区街道零售点间隔距离</w:t>
            </w:r>
            <w:r>
              <w:rPr>
                <w:rFonts w:hint="eastAsia" w:asciiTheme="minorEastAsia" w:hAnsiTheme="minorEastAsia" w:eastAsiaTheme="minorEastAsia" w:cstheme="minorEastAsia"/>
                <w:sz w:val="18"/>
                <w:szCs w:val="18"/>
                <w:lang w:val="en-US" w:eastAsia="zh-CN"/>
              </w:rPr>
              <w:t>不低于</w:t>
            </w:r>
            <w:r>
              <w:rPr>
                <w:rFonts w:hint="eastAsia" w:asciiTheme="minorEastAsia" w:hAnsiTheme="minorEastAsia" w:eastAsiaTheme="minorEastAsia" w:cstheme="minorEastAsia"/>
                <w:sz w:val="18"/>
                <w:szCs w:val="18"/>
              </w:rPr>
              <w:t>50米</w:t>
            </w:r>
            <w:r>
              <w:rPr>
                <w:rFonts w:hint="eastAsia" w:asciiTheme="minorEastAsia" w:hAnsiTheme="minorEastAsia" w:eastAsiaTheme="minorEastAsia" w:cstheme="minorEastAsia"/>
                <w:sz w:val="18"/>
                <w:szCs w:val="18"/>
                <w:lang w:eastAsia="zh-CN"/>
              </w:rPr>
              <w:t>。</w:t>
            </w:r>
          </w:p>
          <w:p w14:paraId="4B57F4EC">
            <w:pPr>
              <w:pStyle w:val="2"/>
              <w:numPr>
                <w:ilvl w:val="0"/>
                <w:numId w:val="0"/>
              </w:numPr>
              <w:ind w:leftChars="0"/>
              <w:rPr>
                <w:rFonts w:hint="default"/>
                <w:lang w:val="en-US" w:eastAsia="zh-CN"/>
              </w:rPr>
            </w:pPr>
          </w:p>
        </w:tc>
        <w:tc>
          <w:tcPr>
            <w:tcW w:w="4380" w:type="dxa"/>
            <w:vMerge w:val="restart"/>
            <w:tcBorders>
              <w:top w:val="single" w:color="auto" w:sz="4" w:space="0"/>
              <w:left w:val="single" w:color="000000" w:sz="4" w:space="0"/>
              <w:bottom w:val="single" w:color="auto" w:sz="4" w:space="0"/>
              <w:right w:val="single" w:color="auto" w:sz="4" w:space="0"/>
            </w:tcBorders>
            <w:shd w:val="clear" w:color="auto" w:fill="auto"/>
          </w:tcPr>
          <w:p w14:paraId="171E9F5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336" w:lineRule="auto"/>
              <w:textAlignment w:val="baseline"/>
              <w:rPr>
                <w:rFonts w:hint="eastAsia" w:asciiTheme="minorEastAsia" w:hAnsiTheme="minorEastAsia" w:eastAsiaTheme="minorEastAsia" w:cstheme="minorEastAsia"/>
                <w:snapToGrid w:val="0"/>
                <w:color w:val="000000"/>
                <w:sz w:val="18"/>
                <w:szCs w:val="18"/>
                <w:lang w:val="en-US" w:eastAsia="zh-CN" w:bidi="ar-SA"/>
              </w:rPr>
            </w:pPr>
            <w:r>
              <w:rPr>
                <w:rFonts w:hint="eastAsia" w:asciiTheme="minorEastAsia" w:hAnsiTheme="minorEastAsia" w:eastAsiaTheme="minorEastAsia" w:cstheme="minorEastAsia"/>
                <w:snapToGrid w:val="0"/>
                <w:color w:val="000000"/>
                <w:spacing w:val="-3"/>
                <w:kern w:val="0"/>
                <w:sz w:val="18"/>
                <w:szCs w:val="18"/>
                <w:lang w:val="en-US" w:eastAsia="zh-CN" w:bidi="ar-SA"/>
              </w:rPr>
              <w:t>1.</w:t>
            </w:r>
            <w:r>
              <w:rPr>
                <w:rFonts w:hint="eastAsia" w:asciiTheme="minorEastAsia" w:hAnsiTheme="minorEastAsia" w:eastAsiaTheme="minorEastAsia" w:cstheme="minorEastAsia"/>
                <w:snapToGrid w:val="0"/>
                <w:color w:val="000000"/>
                <w:sz w:val="18"/>
                <w:szCs w:val="18"/>
                <w:lang w:val="en-US" w:eastAsia="zh-CN" w:bidi="ar-SA"/>
              </w:rPr>
              <w:t>农</w:t>
            </w:r>
            <w:r>
              <w:rPr>
                <w:rFonts w:hint="eastAsia" w:asciiTheme="minorEastAsia" w:hAnsiTheme="minorEastAsia" w:eastAsiaTheme="minorEastAsia" w:cstheme="minorEastAsia"/>
                <w:snapToGrid w:val="0"/>
                <w:color w:val="000000"/>
                <w:sz w:val="18"/>
                <w:szCs w:val="18"/>
                <w:lang w:val="en-US" w:eastAsia="en-US" w:bidi="ar-SA"/>
              </w:rPr>
              <w:t>村</w:t>
            </w:r>
            <w:r>
              <w:rPr>
                <w:rFonts w:hint="eastAsia" w:asciiTheme="minorEastAsia" w:hAnsiTheme="minorEastAsia" w:eastAsiaTheme="minorEastAsia" w:cstheme="minorEastAsia"/>
                <w:snapToGrid w:val="0"/>
                <w:color w:val="000000"/>
                <w:sz w:val="18"/>
                <w:szCs w:val="18"/>
                <w:lang w:val="en-US" w:eastAsia="zh-CN" w:bidi="ar-SA"/>
              </w:rPr>
              <w:t>区域</w:t>
            </w:r>
            <w:r>
              <w:rPr>
                <w:rFonts w:hint="eastAsia" w:asciiTheme="minorEastAsia" w:hAnsiTheme="minorEastAsia" w:eastAsiaTheme="minorEastAsia" w:cstheme="minorEastAsia"/>
                <w:snapToGrid w:val="0"/>
                <w:color w:val="000000"/>
                <w:sz w:val="18"/>
                <w:szCs w:val="18"/>
                <w:lang w:val="en-US" w:eastAsia="en-US" w:bidi="ar-SA"/>
              </w:rPr>
              <w:t>烟草制品零售点的设置</w:t>
            </w:r>
            <w:r>
              <w:rPr>
                <w:rFonts w:hint="eastAsia" w:asciiTheme="minorEastAsia" w:hAnsiTheme="minorEastAsia" w:eastAsiaTheme="minorEastAsia" w:cstheme="minorEastAsia"/>
                <w:snapToGrid w:val="0"/>
                <w:color w:val="000000"/>
                <w:sz w:val="18"/>
                <w:szCs w:val="18"/>
                <w:lang w:val="en-US" w:eastAsia="zh-Hans" w:bidi="ar-SA"/>
              </w:rPr>
              <w:t>。</w:t>
            </w:r>
            <w:r>
              <w:rPr>
                <w:rFonts w:hint="eastAsia" w:asciiTheme="minorEastAsia" w:hAnsiTheme="minorEastAsia" w:eastAsiaTheme="minorEastAsia" w:cstheme="minorEastAsia"/>
                <w:snapToGrid w:val="0"/>
                <w:color w:val="000000"/>
                <w:sz w:val="18"/>
                <w:szCs w:val="18"/>
                <w:lang w:val="en-US" w:eastAsia="en-US" w:bidi="ar-SA"/>
              </w:rPr>
              <w:t>按居住人口数布局，原则上以行政村</w:t>
            </w:r>
            <w:r>
              <w:rPr>
                <w:rFonts w:hint="eastAsia" w:asciiTheme="minorEastAsia" w:hAnsiTheme="minorEastAsia" w:eastAsiaTheme="minorEastAsia" w:cstheme="minorEastAsia"/>
                <w:snapToGrid w:val="0"/>
                <w:color w:val="000000"/>
                <w:sz w:val="18"/>
                <w:szCs w:val="18"/>
                <w:lang w:val="en-US" w:eastAsia="zh-CN" w:bidi="ar-SA"/>
              </w:rPr>
              <w:t>（社区）</w:t>
            </w:r>
            <w:r>
              <w:rPr>
                <w:rFonts w:hint="eastAsia" w:asciiTheme="minorEastAsia" w:hAnsiTheme="minorEastAsia" w:eastAsiaTheme="minorEastAsia" w:cstheme="minorEastAsia"/>
                <w:snapToGrid w:val="0"/>
                <w:color w:val="000000"/>
                <w:sz w:val="18"/>
                <w:szCs w:val="18"/>
                <w:lang w:val="en-US" w:eastAsia="en-US" w:bidi="ar-SA"/>
              </w:rPr>
              <w:t>为单位，行政村</w:t>
            </w:r>
            <w:r>
              <w:rPr>
                <w:rFonts w:hint="eastAsia" w:asciiTheme="minorEastAsia" w:hAnsiTheme="minorEastAsia" w:eastAsiaTheme="minorEastAsia" w:cstheme="minorEastAsia"/>
                <w:snapToGrid w:val="0"/>
                <w:color w:val="000000"/>
                <w:sz w:val="18"/>
                <w:szCs w:val="18"/>
                <w:lang w:val="en-US" w:eastAsia="zh-CN" w:bidi="ar-SA"/>
              </w:rPr>
              <w:t>（社区）</w:t>
            </w:r>
            <w:r>
              <w:rPr>
                <w:rFonts w:hint="eastAsia" w:asciiTheme="minorEastAsia" w:hAnsiTheme="minorEastAsia" w:eastAsiaTheme="minorEastAsia" w:cstheme="minorEastAsia"/>
                <w:snapToGrid w:val="0"/>
                <w:color w:val="000000"/>
                <w:sz w:val="18"/>
                <w:szCs w:val="18"/>
                <w:lang w:val="en-US" w:eastAsia="en-US" w:bidi="ar-SA"/>
              </w:rPr>
              <w:t>总人口在</w:t>
            </w:r>
            <w:r>
              <w:rPr>
                <w:rFonts w:hint="eastAsia" w:asciiTheme="minorEastAsia" w:hAnsiTheme="minorEastAsia" w:eastAsiaTheme="minorEastAsia" w:cstheme="minorEastAsia"/>
                <w:snapToGrid w:val="0"/>
                <w:color w:val="000000"/>
                <w:sz w:val="18"/>
                <w:szCs w:val="18"/>
                <w:lang w:val="en-US" w:eastAsia="zh-CN" w:bidi="ar-SA"/>
              </w:rPr>
              <w:t>600</w:t>
            </w:r>
            <w:r>
              <w:rPr>
                <w:rFonts w:hint="eastAsia" w:asciiTheme="minorEastAsia" w:hAnsiTheme="minorEastAsia" w:eastAsiaTheme="minorEastAsia" w:cstheme="minorEastAsia"/>
                <w:snapToGrid w:val="0"/>
                <w:color w:val="000000"/>
                <w:sz w:val="18"/>
                <w:szCs w:val="18"/>
                <w:lang w:val="en-US" w:eastAsia="en-US" w:bidi="ar-SA"/>
              </w:rPr>
              <w:t>人以</w:t>
            </w:r>
            <w:r>
              <w:rPr>
                <w:rFonts w:hint="eastAsia" w:asciiTheme="minorEastAsia" w:hAnsiTheme="minorEastAsia" w:eastAsiaTheme="minorEastAsia" w:cstheme="minorEastAsia"/>
                <w:snapToGrid w:val="0"/>
                <w:color w:val="000000"/>
                <w:sz w:val="18"/>
                <w:szCs w:val="18"/>
                <w:lang w:val="en-US" w:eastAsia="zh-CN" w:bidi="ar-SA"/>
              </w:rPr>
              <w:t>内</w:t>
            </w:r>
            <w:r>
              <w:rPr>
                <w:rFonts w:hint="eastAsia" w:asciiTheme="minorEastAsia" w:hAnsiTheme="minorEastAsia" w:eastAsiaTheme="minorEastAsia" w:cstheme="minorEastAsia"/>
                <w:snapToGrid w:val="0"/>
                <w:color w:val="000000"/>
                <w:sz w:val="18"/>
                <w:szCs w:val="18"/>
                <w:lang w:val="en-US" w:eastAsia="en-US" w:bidi="ar-SA"/>
              </w:rPr>
              <w:t>的设置1个零售点</w:t>
            </w:r>
            <w:r>
              <w:rPr>
                <w:rFonts w:hint="eastAsia" w:asciiTheme="minorEastAsia" w:hAnsiTheme="minorEastAsia" w:eastAsiaTheme="minorEastAsia" w:cstheme="minorEastAsia"/>
                <w:snapToGrid w:val="0"/>
                <w:color w:val="000000"/>
                <w:sz w:val="18"/>
                <w:szCs w:val="18"/>
                <w:lang w:val="en-US" w:eastAsia="zh-CN" w:bidi="ar-SA"/>
              </w:rPr>
              <w:t>，</w:t>
            </w:r>
            <w:r>
              <w:rPr>
                <w:rFonts w:hint="eastAsia" w:asciiTheme="minorEastAsia" w:hAnsiTheme="minorEastAsia" w:eastAsiaTheme="minorEastAsia" w:cstheme="minorEastAsia"/>
                <w:snapToGrid w:val="0"/>
                <w:color w:val="000000"/>
                <w:sz w:val="18"/>
                <w:szCs w:val="18"/>
                <w:lang w:val="en-US" w:eastAsia="en-US" w:bidi="ar-SA"/>
              </w:rPr>
              <w:t>每增加</w:t>
            </w:r>
            <w:r>
              <w:rPr>
                <w:rFonts w:hint="eastAsia" w:asciiTheme="minorEastAsia" w:hAnsiTheme="minorEastAsia" w:eastAsiaTheme="minorEastAsia" w:cstheme="minorEastAsia"/>
                <w:snapToGrid w:val="0"/>
                <w:color w:val="000000"/>
                <w:sz w:val="18"/>
                <w:szCs w:val="18"/>
                <w:lang w:val="en-US" w:eastAsia="zh-CN" w:bidi="ar-SA"/>
              </w:rPr>
              <w:t>600</w:t>
            </w:r>
            <w:r>
              <w:rPr>
                <w:rFonts w:hint="eastAsia" w:asciiTheme="minorEastAsia" w:hAnsiTheme="minorEastAsia" w:eastAsiaTheme="minorEastAsia" w:cstheme="minorEastAsia"/>
                <w:snapToGrid w:val="0"/>
                <w:color w:val="000000"/>
                <w:sz w:val="18"/>
                <w:szCs w:val="18"/>
                <w:lang w:val="en-US" w:eastAsia="en-US" w:bidi="ar-SA"/>
              </w:rPr>
              <w:t>人可增设1个零售点，以此类推（居住人口数以</w:t>
            </w:r>
            <w:r>
              <w:rPr>
                <w:rFonts w:hint="eastAsia" w:asciiTheme="minorEastAsia" w:hAnsiTheme="minorEastAsia" w:eastAsiaTheme="minorEastAsia" w:cstheme="minorEastAsia"/>
                <w:snapToGrid w:val="0"/>
                <w:color w:val="000000"/>
                <w:sz w:val="18"/>
                <w:szCs w:val="18"/>
                <w:lang w:val="en-US" w:eastAsia="zh-CN" w:bidi="ar-SA"/>
              </w:rPr>
              <w:t>公安机关</w:t>
            </w:r>
            <w:r>
              <w:rPr>
                <w:rFonts w:hint="eastAsia" w:asciiTheme="minorEastAsia" w:hAnsiTheme="minorEastAsia" w:eastAsiaTheme="minorEastAsia" w:cstheme="minorEastAsia"/>
                <w:snapToGrid w:val="0"/>
                <w:color w:val="000000"/>
                <w:sz w:val="18"/>
                <w:szCs w:val="18"/>
                <w:lang w:val="en-US" w:eastAsia="en-US" w:bidi="ar-SA"/>
              </w:rPr>
              <w:t>提供的数据为准）</w:t>
            </w:r>
            <w:r>
              <w:rPr>
                <w:rFonts w:hint="eastAsia" w:asciiTheme="minorEastAsia" w:hAnsiTheme="minorEastAsia" w:eastAsiaTheme="minorEastAsia" w:cstheme="minorEastAsia"/>
                <w:snapToGrid w:val="0"/>
                <w:color w:val="000000"/>
                <w:sz w:val="18"/>
                <w:szCs w:val="18"/>
                <w:lang w:val="en-US" w:eastAsia="zh-CN" w:bidi="ar-SA"/>
              </w:rPr>
              <w:t>；</w:t>
            </w:r>
          </w:p>
          <w:p w14:paraId="4A8263E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336" w:lineRule="auto"/>
              <w:textAlignment w:val="baseline"/>
              <w:rPr>
                <w:rFonts w:hint="eastAsia" w:asciiTheme="minorEastAsia" w:hAnsiTheme="minorEastAsia" w:eastAsiaTheme="minorEastAsia" w:cstheme="minorEastAsia"/>
                <w:snapToGrid w:val="0"/>
                <w:color w:val="000000"/>
                <w:spacing w:val="-3"/>
                <w:kern w:val="0"/>
                <w:sz w:val="18"/>
                <w:szCs w:val="18"/>
                <w:lang w:val="en-US" w:eastAsia="zh-CN" w:bidi="ar-SA"/>
              </w:rPr>
            </w:pPr>
            <w:r>
              <w:rPr>
                <w:rFonts w:hint="eastAsia" w:asciiTheme="minorEastAsia" w:hAnsiTheme="minorEastAsia" w:eastAsiaTheme="minorEastAsia" w:cstheme="minorEastAsia"/>
                <w:snapToGrid w:val="0"/>
                <w:color w:val="000000"/>
                <w:spacing w:val="-3"/>
                <w:kern w:val="0"/>
                <w:sz w:val="18"/>
                <w:szCs w:val="18"/>
                <w:lang w:val="en-US" w:eastAsia="zh-CN" w:bidi="ar-SA"/>
              </w:rPr>
              <w:t>2.</w:t>
            </w:r>
            <w:r>
              <w:rPr>
                <w:rFonts w:hint="eastAsia" w:asciiTheme="minorEastAsia" w:hAnsiTheme="minorEastAsia" w:eastAsiaTheme="minorEastAsia" w:cstheme="minorEastAsia"/>
                <w:snapToGrid w:val="0"/>
                <w:color w:val="000000"/>
                <w:spacing w:val="-3"/>
                <w:kern w:val="0"/>
                <w:sz w:val="18"/>
                <w:szCs w:val="18"/>
                <w:lang w:val="en-US" w:eastAsia="en-US" w:bidi="ar-SA"/>
              </w:rPr>
              <w:t>人口较为集中</w:t>
            </w:r>
            <w:r>
              <w:rPr>
                <w:rFonts w:hint="eastAsia" w:asciiTheme="minorEastAsia" w:hAnsiTheme="minorEastAsia" w:eastAsiaTheme="minorEastAsia" w:cstheme="minorEastAsia"/>
                <w:snapToGrid w:val="0"/>
                <w:color w:val="000000"/>
                <w:spacing w:val="-3"/>
                <w:kern w:val="0"/>
                <w:sz w:val="18"/>
                <w:szCs w:val="18"/>
                <w:lang w:val="en-US" w:eastAsia="zh-Hans" w:bidi="ar-SA"/>
              </w:rPr>
              <w:t>、</w:t>
            </w:r>
            <w:r>
              <w:rPr>
                <w:rFonts w:hint="eastAsia" w:asciiTheme="minorEastAsia" w:hAnsiTheme="minorEastAsia" w:eastAsiaTheme="minorEastAsia" w:cstheme="minorEastAsia"/>
                <w:snapToGrid w:val="0"/>
                <w:color w:val="000000"/>
                <w:spacing w:val="-3"/>
                <w:kern w:val="0"/>
                <w:sz w:val="18"/>
                <w:szCs w:val="18"/>
                <w:lang w:val="en-US" w:eastAsia="en-US" w:bidi="ar-SA"/>
              </w:rPr>
              <w:t>相对</w:t>
            </w:r>
            <w:r>
              <w:rPr>
                <w:rFonts w:hint="eastAsia" w:asciiTheme="minorEastAsia" w:hAnsiTheme="minorEastAsia" w:eastAsiaTheme="minorEastAsia" w:cstheme="minorEastAsia"/>
                <w:snapToGrid w:val="0"/>
                <w:color w:val="000000"/>
                <w:spacing w:val="-3"/>
                <w:kern w:val="0"/>
                <w:sz w:val="18"/>
                <w:szCs w:val="18"/>
                <w:lang w:val="en-US" w:eastAsia="zh-CN" w:bidi="ar-SA"/>
              </w:rPr>
              <w:t>封闭的</w:t>
            </w:r>
            <w:r>
              <w:rPr>
                <w:rFonts w:hint="eastAsia" w:asciiTheme="minorEastAsia" w:hAnsiTheme="minorEastAsia" w:eastAsiaTheme="minorEastAsia" w:cstheme="minorEastAsia"/>
                <w:snapToGrid w:val="0"/>
                <w:color w:val="000000"/>
                <w:spacing w:val="-3"/>
                <w:kern w:val="0"/>
                <w:sz w:val="18"/>
                <w:szCs w:val="18"/>
                <w:lang w:val="en-US" w:eastAsia="en-US" w:bidi="ar-SA"/>
              </w:rPr>
              <w:t>综合性批发市场、专业市场</w:t>
            </w:r>
            <w:r>
              <w:rPr>
                <w:rFonts w:hint="eastAsia" w:asciiTheme="minorEastAsia" w:hAnsiTheme="minorEastAsia" w:eastAsiaTheme="minorEastAsia" w:cstheme="minorEastAsia"/>
                <w:snapToGrid w:val="0"/>
                <w:color w:val="000000"/>
                <w:spacing w:val="-3"/>
                <w:kern w:val="0"/>
                <w:sz w:val="18"/>
                <w:szCs w:val="18"/>
                <w:lang w:val="en-US" w:eastAsia="zh-CN" w:bidi="ar-SA"/>
              </w:rPr>
              <w:t>、集</w:t>
            </w:r>
            <w:r>
              <w:rPr>
                <w:rFonts w:hint="eastAsia" w:asciiTheme="minorEastAsia" w:hAnsiTheme="minorEastAsia" w:eastAsiaTheme="minorEastAsia" w:cstheme="minorEastAsia"/>
                <w:snapToGrid w:val="0"/>
                <w:color w:val="000000"/>
                <w:spacing w:val="-3"/>
                <w:kern w:val="0"/>
                <w:sz w:val="18"/>
                <w:szCs w:val="18"/>
                <w:lang w:val="en-US" w:eastAsia="en-US" w:bidi="ar-SA"/>
              </w:rPr>
              <w:t>贸市场的规划。根据该区域</w:t>
            </w:r>
            <w:r>
              <w:rPr>
                <w:rFonts w:hint="eastAsia" w:asciiTheme="minorEastAsia" w:hAnsiTheme="minorEastAsia" w:eastAsiaTheme="minorEastAsia" w:cstheme="minorEastAsia"/>
                <w:snapToGrid w:val="0"/>
                <w:color w:val="000000"/>
                <w:spacing w:val="-3"/>
                <w:kern w:val="0"/>
                <w:sz w:val="18"/>
                <w:szCs w:val="18"/>
                <w:lang w:val="en-US" w:eastAsia="zh-CN" w:bidi="ar-SA"/>
              </w:rPr>
              <w:t>内</w:t>
            </w:r>
            <w:r>
              <w:rPr>
                <w:rFonts w:hint="eastAsia" w:asciiTheme="minorEastAsia" w:hAnsiTheme="minorEastAsia" w:eastAsiaTheme="minorEastAsia" w:cstheme="minorEastAsia"/>
                <w:snapToGrid w:val="0"/>
                <w:color w:val="000000"/>
                <w:spacing w:val="-3"/>
                <w:kern w:val="0"/>
                <w:sz w:val="18"/>
                <w:szCs w:val="18"/>
                <w:lang w:val="en-US" w:eastAsia="en-US" w:bidi="ar-SA"/>
              </w:rPr>
              <w:t>固定商铺数量设置</w:t>
            </w:r>
            <w:r>
              <w:rPr>
                <w:rFonts w:hint="eastAsia" w:asciiTheme="minorEastAsia" w:hAnsiTheme="minorEastAsia" w:eastAsiaTheme="minorEastAsia" w:cstheme="minorEastAsia"/>
                <w:snapToGrid w:val="0"/>
                <w:color w:val="000000"/>
                <w:spacing w:val="-3"/>
                <w:kern w:val="0"/>
                <w:sz w:val="18"/>
                <w:szCs w:val="18"/>
                <w:lang w:val="en-US" w:eastAsia="zh-CN" w:bidi="ar-SA"/>
              </w:rPr>
              <w:t>，每</w:t>
            </w:r>
            <w:r>
              <w:rPr>
                <w:rFonts w:hint="eastAsia" w:asciiTheme="minorEastAsia" w:hAnsiTheme="minorEastAsia" w:eastAsiaTheme="minorEastAsia" w:cstheme="minorEastAsia"/>
                <w:snapToGrid w:val="0"/>
                <w:color w:val="000000"/>
                <w:spacing w:val="-3"/>
                <w:kern w:val="0"/>
                <w:sz w:val="18"/>
                <w:szCs w:val="18"/>
                <w:lang w:val="en-US" w:eastAsia="en-US" w:bidi="ar-SA"/>
              </w:rPr>
              <w:t>20户</w:t>
            </w:r>
            <w:r>
              <w:rPr>
                <w:rFonts w:hint="eastAsia" w:asciiTheme="minorEastAsia" w:hAnsiTheme="minorEastAsia" w:eastAsiaTheme="minorEastAsia" w:cstheme="minorEastAsia"/>
                <w:snapToGrid w:val="0"/>
                <w:color w:val="000000"/>
                <w:spacing w:val="-3"/>
                <w:kern w:val="0"/>
                <w:sz w:val="18"/>
                <w:szCs w:val="18"/>
                <w:lang w:val="en-US" w:eastAsia="zh-CN" w:bidi="ar-SA"/>
              </w:rPr>
              <w:t>设置</w:t>
            </w:r>
            <w:r>
              <w:rPr>
                <w:rFonts w:hint="eastAsia" w:asciiTheme="minorEastAsia" w:hAnsiTheme="minorEastAsia" w:eastAsiaTheme="minorEastAsia" w:cstheme="minorEastAsia"/>
                <w:snapToGrid w:val="0"/>
                <w:color w:val="000000"/>
                <w:spacing w:val="-3"/>
                <w:kern w:val="0"/>
                <w:sz w:val="18"/>
                <w:szCs w:val="18"/>
                <w:lang w:val="en-US" w:eastAsia="en-US" w:bidi="ar-SA"/>
              </w:rPr>
              <w:t>1个</w:t>
            </w:r>
            <w:r>
              <w:rPr>
                <w:rFonts w:hint="eastAsia" w:asciiTheme="minorEastAsia" w:hAnsiTheme="minorEastAsia" w:eastAsiaTheme="minorEastAsia" w:cstheme="minorEastAsia"/>
                <w:snapToGrid w:val="0"/>
                <w:color w:val="000000"/>
                <w:spacing w:val="-3"/>
                <w:kern w:val="0"/>
                <w:sz w:val="18"/>
                <w:szCs w:val="18"/>
                <w:lang w:val="en-US" w:eastAsia="zh-CN" w:bidi="ar-SA"/>
              </w:rPr>
              <w:t>零售点</w:t>
            </w:r>
            <w:r>
              <w:rPr>
                <w:rFonts w:hint="eastAsia" w:asciiTheme="minorEastAsia" w:hAnsiTheme="minorEastAsia" w:eastAsiaTheme="minorEastAsia" w:cstheme="minorEastAsia"/>
                <w:snapToGrid w:val="0"/>
                <w:color w:val="000000"/>
                <w:spacing w:val="-3"/>
                <w:kern w:val="0"/>
                <w:sz w:val="18"/>
                <w:szCs w:val="18"/>
                <w:lang w:val="en-US" w:eastAsia="zh-Hans" w:bidi="ar-SA"/>
              </w:rPr>
              <w:t>，</w:t>
            </w:r>
            <w:r>
              <w:rPr>
                <w:rFonts w:hint="eastAsia" w:asciiTheme="minorEastAsia" w:hAnsiTheme="minorEastAsia" w:eastAsiaTheme="minorEastAsia" w:cstheme="minorEastAsia"/>
                <w:snapToGrid w:val="0"/>
                <w:color w:val="000000"/>
                <w:spacing w:val="-3"/>
                <w:kern w:val="0"/>
                <w:sz w:val="18"/>
                <w:szCs w:val="18"/>
                <w:lang w:val="en-US" w:eastAsia="en-US" w:bidi="ar-SA"/>
              </w:rPr>
              <w:t>零售点间距不低于</w:t>
            </w:r>
            <w:r>
              <w:rPr>
                <w:rFonts w:hint="eastAsia" w:asciiTheme="minorEastAsia" w:hAnsiTheme="minorEastAsia" w:eastAsiaTheme="minorEastAsia" w:cstheme="minorEastAsia"/>
                <w:snapToGrid w:val="0"/>
                <w:color w:val="000000"/>
                <w:spacing w:val="-3"/>
                <w:kern w:val="0"/>
                <w:sz w:val="18"/>
                <w:szCs w:val="18"/>
                <w:lang w:val="en-US" w:eastAsia="zh-CN" w:bidi="ar-SA"/>
              </w:rPr>
              <w:t>20米</w:t>
            </w:r>
            <w:r>
              <w:rPr>
                <w:rFonts w:hint="eastAsia" w:asciiTheme="minorEastAsia" w:hAnsiTheme="minorEastAsia" w:eastAsiaTheme="minorEastAsia" w:cstheme="minorEastAsia"/>
                <w:snapToGrid w:val="0"/>
                <w:color w:val="000000"/>
                <w:spacing w:val="-3"/>
                <w:kern w:val="0"/>
                <w:sz w:val="18"/>
                <w:szCs w:val="18"/>
                <w:lang w:val="en-US" w:eastAsia="en-US" w:bidi="ar-SA"/>
              </w:rPr>
              <w:t xml:space="preserve"> </w:t>
            </w:r>
            <w:r>
              <w:rPr>
                <w:rFonts w:hint="eastAsia" w:asciiTheme="minorEastAsia" w:hAnsiTheme="minorEastAsia" w:eastAsiaTheme="minorEastAsia" w:cstheme="minorEastAsia"/>
                <w:snapToGrid w:val="0"/>
                <w:color w:val="000000"/>
                <w:spacing w:val="-3"/>
                <w:kern w:val="0"/>
                <w:sz w:val="18"/>
                <w:szCs w:val="18"/>
                <w:lang w:val="en-US" w:eastAsia="zh-CN" w:bidi="ar-SA"/>
              </w:rPr>
              <w:t>，若该区域内</w:t>
            </w:r>
            <w:r>
              <w:rPr>
                <w:rFonts w:hint="eastAsia" w:asciiTheme="minorEastAsia" w:hAnsiTheme="minorEastAsia" w:eastAsiaTheme="minorEastAsia" w:cstheme="minorEastAsia"/>
                <w:snapToGrid w:val="0"/>
                <w:color w:val="000000"/>
                <w:spacing w:val="-3"/>
                <w:kern w:val="0"/>
                <w:sz w:val="18"/>
                <w:szCs w:val="18"/>
                <w:lang w:val="en-US" w:eastAsia="en-US" w:bidi="ar-SA"/>
              </w:rPr>
              <w:t>固定商铺数量</w:t>
            </w:r>
            <w:r>
              <w:rPr>
                <w:rFonts w:hint="eastAsia" w:asciiTheme="minorEastAsia" w:hAnsiTheme="minorEastAsia" w:eastAsiaTheme="minorEastAsia" w:cstheme="minorEastAsia"/>
                <w:snapToGrid w:val="0"/>
                <w:color w:val="000000"/>
                <w:spacing w:val="-3"/>
                <w:kern w:val="0"/>
                <w:sz w:val="18"/>
                <w:szCs w:val="18"/>
                <w:lang w:val="en-US" w:eastAsia="zh-CN" w:bidi="ar-SA"/>
              </w:rPr>
              <w:t>不足20户，且无零售点的，可设置1个零售点</w:t>
            </w:r>
            <w:r>
              <w:rPr>
                <w:rFonts w:hint="eastAsia" w:asciiTheme="minorEastAsia" w:hAnsiTheme="minorEastAsia" w:eastAsiaTheme="minorEastAsia" w:cstheme="minorEastAsia"/>
                <w:snapToGrid w:val="0"/>
                <w:color w:val="000000"/>
                <w:spacing w:val="-3"/>
                <w:kern w:val="0"/>
                <w:sz w:val="18"/>
                <w:szCs w:val="18"/>
                <w:lang w:val="en-US" w:eastAsia="zh-Hans" w:bidi="ar-SA"/>
              </w:rPr>
              <w:t>（</w:t>
            </w:r>
            <w:r>
              <w:rPr>
                <w:rFonts w:hint="eastAsia" w:asciiTheme="minorEastAsia" w:hAnsiTheme="minorEastAsia" w:eastAsiaTheme="minorEastAsia" w:cstheme="minorEastAsia"/>
                <w:snapToGrid w:val="0"/>
                <w:color w:val="000000"/>
                <w:spacing w:val="-3"/>
                <w:kern w:val="0"/>
                <w:sz w:val="18"/>
                <w:szCs w:val="18"/>
                <w:lang w:val="en-US" w:eastAsia="en-US" w:bidi="ar-SA"/>
              </w:rPr>
              <w:t>内外相通的临街商铺需同时符合内外布局要求</w:t>
            </w:r>
            <w:r>
              <w:rPr>
                <w:rFonts w:hint="eastAsia" w:asciiTheme="minorEastAsia" w:hAnsiTheme="minorEastAsia" w:eastAsiaTheme="minorEastAsia" w:cstheme="minorEastAsia"/>
                <w:snapToGrid w:val="0"/>
                <w:color w:val="000000"/>
                <w:spacing w:val="-3"/>
                <w:kern w:val="0"/>
                <w:sz w:val="18"/>
                <w:szCs w:val="18"/>
                <w:lang w:val="en-US" w:eastAsia="zh-Hans" w:bidi="ar-SA"/>
              </w:rPr>
              <w:t>）</w:t>
            </w:r>
            <w:r>
              <w:rPr>
                <w:rFonts w:hint="eastAsia" w:asciiTheme="minorEastAsia" w:hAnsiTheme="minorEastAsia" w:eastAsiaTheme="minorEastAsia" w:cstheme="minorEastAsia"/>
                <w:snapToGrid w:val="0"/>
                <w:color w:val="000000"/>
                <w:spacing w:val="-3"/>
                <w:kern w:val="0"/>
                <w:sz w:val="18"/>
                <w:szCs w:val="18"/>
                <w:lang w:val="en-US" w:eastAsia="zh-CN" w:bidi="ar-SA"/>
              </w:rPr>
              <w:t>；</w:t>
            </w:r>
          </w:p>
          <w:p w14:paraId="6858071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Autospacing="0" w:afterAutospacing="0" w:line="336" w:lineRule="auto"/>
              <w:textAlignment w:val="baseline"/>
              <w:rPr>
                <w:rFonts w:hint="eastAsia" w:asciiTheme="minorEastAsia" w:hAnsiTheme="minorEastAsia" w:eastAsiaTheme="minorEastAsia" w:cstheme="minorEastAsia"/>
                <w:snapToGrid w:val="0"/>
                <w:color w:val="000000"/>
                <w:spacing w:val="-3"/>
                <w:kern w:val="0"/>
                <w:sz w:val="18"/>
                <w:szCs w:val="18"/>
                <w:lang w:val="en-US" w:eastAsia="zh-CN" w:bidi="ar-SA"/>
              </w:rPr>
            </w:pPr>
            <w:r>
              <w:rPr>
                <w:rFonts w:hint="eastAsia" w:asciiTheme="minorEastAsia" w:hAnsiTheme="minorEastAsia" w:eastAsiaTheme="minorEastAsia" w:cstheme="minorEastAsia"/>
                <w:snapToGrid w:val="0"/>
                <w:color w:val="000000"/>
                <w:spacing w:val="-3"/>
                <w:kern w:val="0"/>
                <w:sz w:val="18"/>
                <w:szCs w:val="18"/>
                <w:lang w:val="en-US" w:eastAsia="zh-CN" w:bidi="ar-SA"/>
              </w:rPr>
              <w:t>3.封闭式</w:t>
            </w:r>
            <w:r>
              <w:rPr>
                <w:rFonts w:hint="eastAsia" w:asciiTheme="minorEastAsia" w:hAnsiTheme="minorEastAsia" w:eastAsiaTheme="minorEastAsia" w:cstheme="minorEastAsia"/>
                <w:snapToGrid w:val="0"/>
                <w:color w:val="000000"/>
                <w:spacing w:val="-3"/>
                <w:kern w:val="0"/>
                <w:sz w:val="18"/>
                <w:szCs w:val="18"/>
                <w:lang w:val="en-US" w:eastAsia="en-US" w:bidi="ar-SA"/>
              </w:rPr>
              <w:t>居民住宅小区</w:t>
            </w:r>
            <w:r>
              <w:rPr>
                <w:rFonts w:hint="eastAsia" w:asciiTheme="minorEastAsia" w:hAnsiTheme="minorEastAsia" w:eastAsiaTheme="minorEastAsia" w:cstheme="minorEastAsia"/>
                <w:snapToGrid w:val="0"/>
                <w:color w:val="000000"/>
                <w:spacing w:val="-3"/>
                <w:kern w:val="0"/>
                <w:sz w:val="18"/>
                <w:szCs w:val="18"/>
                <w:lang w:val="en-US" w:eastAsia="zh-CN" w:bidi="ar-SA"/>
              </w:rPr>
              <w:t>内部</w:t>
            </w:r>
            <w:r>
              <w:rPr>
                <w:rFonts w:hint="eastAsia" w:asciiTheme="minorEastAsia" w:hAnsiTheme="minorEastAsia" w:eastAsiaTheme="minorEastAsia" w:cstheme="minorEastAsia"/>
                <w:snapToGrid w:val="0"/>
                <w:color w:val="000000"/>
                <w:spacing w:val="-3"/>
                <w:kern w:val="0"/>
                <w:sz w:val="18"/>
                <w:szCs w:val="18"/>
                <w:lang w:val="en-US" w:eastAsia="en-US" w:bidi="ar-SA"/>
              </w:rPr>
              <w:t>住户</w:t>
            </w:r>
            <w:r>
              <w:rPr>
                <w:rFonts w:hint="eastAsia" w:asciiTheme="minorEastAsia" w:hAnsiTheme="minorEastAsia" w:eastAsiaTheme="minorEastAsia" w:cstheme="minorEastAsia"/>
                <w:snapToGrid w:val="0"/>
                <w:color w:val="000000"/>
                <w:spacing w:val="-3"/>
                <w:kern w:val="0"/>
                <w:sz w:val="18"/>
                <w:szCs w:val="18"/>
                <w:lang w:val="en-US" w:eastAsia="zh-CN" w:bidi="ar-SA"/>
              </w:rPr>
              <w:t>达到100</w:t>
            </w:r>
            <w:r>
              <w:rPr>
                <w:rFonts w:hint="eastAsia" w:asciiTheme="minorEastAsia" w:hAnsiTheme="minorEastAsia" w:eastAsiaTheme="minorEastAsia" w:cstheme="minorEastAsia"/>
                <w:snapToGrid w:val="0"/>
                <w:color w:val="000000"/>
                <w:spacing w:val="-3"/>
                <w:kern w:val="0"/>
                <w:sz w:val="18"/>
                <w:szCs w:val="18"/>
                <w:lang w:val="en-US" w:eastAsia="en-US" w:bidi="ar-SA"/>
              </w:rPr>
              <w:t>户的，可设置1个零售点，每增加200户</w:t>
            </w:r>
            <w:r>
              <w:rPr>
                <w:rFonts w:hint="eastAsia" w:asciiTheme="minorEastAsia" w:hAnsiTheme="minorEastAsia" w:eastAsiaTheme="minorEastAsia" w:cstheme="minorEastAsia"/>
                <w:snapToGrid w:val="0"/>
                <w:color w:val="000000"/>
                <w:spacing w:val="-3"/>
                <w:kern w:val="0"/>
                <w:sz w:val="18"/>
                <w:szCs w:val="18"/>
                <w:lang w:val="en-US" w:eastAsia="zh-CN" w:bidi="ar-SA"/>
              </w:rPr>
              <w:t>可</w:t>
            </w:r>
            <w:r>
              <w:rPr>
                <w:rFonts w:hint="eastAsia" w:asciiTheme="minorEastAsia" w:hAnsiTheme="minorEastAsia" w:eastAsiaTheme="minorEastAsia" w:cstheme="minorEastAsia"/>
                <w:snapToGrid w:val="0"/>
                <w:color w:val="000000"/>
                <w:spacing w:val="-3"/>
                <w:kern w:val="0"/>
                <w:sz w:val="18"/>
                <w:szCs w:val="18"/>
                <w:lang w:val="en-US" w:eastAsia="en-US" w:bidi="ar-SA"/>
              </w:rPr>
              <w:t>增设1个零售点，零售点间距不低于</w:t>
            </w:r>
            <w:r>
              <w:rPr>
                <w:rFonts w:hint="eastAsia" w:asciiTheme="minorEastAsia" w:hAnsiTheme="minorEastAsia" w:eastAsiaTheme="minorEastAsia" w:cstheme="minorEastAsia"/>
                <w:snapToGrid w:val="0"/>
                <w:color w:val="000000"/>
                <w:spacing w:val="-3"/>
                <w:kern w:val="0"/>
                <w:sz w:val="18"/>
                <w:szCs w:val="18"/>
                <w:lang w:val="en-US" w:eastAsia="zh-CN" w:bidi="ar-SA"/>
              </w:rPr>
              <w:t>50</w:t>
            </w:r>
            <w:r>
              <w:rPr>
                <w:rFonts w:hint="eastAsia" w:asciiTheme="minorEastAsia" w:hAnsiTheme="minorEastAsia" w:eastAsiaTheme="minorEastAsia" w:cstheme="minorEastAsia"/>
                <w:snapToGrid w:val="0"/>
                <w:color w:val="000000"/>
                <w:spacing w:val="-3"/>
                <w:kern w:val="0"/>
                <w:sz w:val="18"/>
                <w:szCs w:val="18"/>
                <w:lang w:val="en-US" w:eastAsia="en-US" w:bidi="ar-SA"/>
              </w:rPr>
              <w:t>米</w:t>
            </w:r>
            <w:r>
              <w:rPr>
                <w:rFonts w:hint="eastAsia" w:asciiTheme="minorEastAsia" w:hAnsiTheme="minorEastAsia" w:eastAsiaTheme="minorEastAsia" w:cstheme="minorEastAsia"/>
                <w:snapToGrid w:val="0"/>
                <w:color w:val="000000"/>
                <w:spacing w:val="-3"/>
                <w:kern w:val="0"/>
                <w:sz w:val="18"/>
                <w:szCs w:val="18"/>
                <w:lang w:val="en-US" w:eastAsia="zh-CN" w:bidi="ar-SA"/>
              </w:rPr>
              <w:t>，</w:t>
            </w:r>
            <w:r>
              <w:rPr>
                <w:rFonts w:hint="eastAsia" w:asciiTheme="minorEastAsia" w:hAnsiTheme="minorEastAsia" w:eastAsiaTheme="minorEastAsia" w:cstheme="minorEastAsia"/>
                <w:snapToGrid w:val="0"/>
                <w:color w:val="000000"/>
                <w:spacing w:val="-3"/>
                <w:kern w:val="0"/>
                <w:sz w:val="18"/>
                <w:szCs w:val="18"/>
                <w:lang w:val="en-US" w:eastAsia="en-US" w:bidi="ar-SA"/>
              </w:rPr>
              <w:t>最多可设置3个零售点，</w:t>
            </w:r>
            <w:r>
              <w:rPr>
                <w:rFonts w:hint="eastAsia" w:asciiTheme="minorEastAsia" w:hAnsiTheme="minorEastAsia" w:eastAsiaTheme="minorEastAsia" w:cstheme="minorEastAsia"/>
                <w:snapToGrid w:val="0"/>
                <w:color w:val="000000"/>
                <w:spacing w:val="-3"/>
                <w:kern w:val="0"/>
                <w:sz w:val="18"/>
                <w:szCs w:val="18"/>
                <w:lang w:val="en-US" w:eastAsia="zh-CN" w:bidi="ar-SA"/>
              </w:rPr>
              <w:t>且经营场所必须为平层开放式门店</w:t>
            </w:r>
            <w:r>
              <w:rPr>
                <w:rFonts w:hint="eastAsia" w:asciiTheme="minorEastAsia" w:hAnsiTheme="minorEastAsia" w:eastAsiaTheme="minorEastAsia" w:cstheme="minorEastAsia"/>
                <w:snapToGrid w:val="0"/>
                <w:color w:val="000000"/>
                <w:spacing w:val="-3"/>
                <w:kern w:val="0"/>
                <w:sz w:val="18"/>
                <w:szCs w:val="18"/>
                <w:lang w:val="en-US" w:eastAsia="en-US" w:bidi="ar-SA"/>
              </w:rPr>
              <w:t>（内外相通的临街商铺需同时符合内外布局要求）</w:t>
            </w:r>
            <w:r>
              <w:rPr>
                <w:rFonts w:hint="eastAsia" w:asciiTheme="minorEastAsia" w:hAnsiTheme="minorEastAsia" w:eastAsiaTheme="minorEastAsia" w:cstheme="minorEastAsia"/>
                <w:snapToGrid w:val="0"/>
                <w:color w:val="000000"/>
                <w:spacing w:val="-3"/>
                <w:kern w:val="0"/>
                <w:sz w:val="18"/>
                <w:szCs w:val="18"/>
                <w:lang w:val="en-US" w:eastAsia="zh-CN" w:bidi="ar-SA"/>
              </w:rPr>
              <w:t>。</w:t>
            </w:r>
          </w:p>
          <w:p w14:paraId="3CD110FD">
            <w:pPr>
              <w:pStyle w:val="2"/>
              <w:numPr>
                <w:ilvl w:val="0"/>
                <w:numId w:val="0"/>
              </w:numPr>
              <w:rPr>
                <w:rFonts w:hint="default" w:asciiTheme="minorEastAsia" w:hAnsiTheme="minorEastAsia" w:eastAsiaTheme="minorEastAsia" w:cstheme="minorEastAsia"/>
                <w:snapToGrid w:val="0"/>
                <w:color w:val="000000"/>
                <w:spacing w:val="-3"/>
                <w:kern w:val="0"/>
                <w:sz w:val="18"/>
                <w:szCs w:val="18"/>
                <w:lang w:val="en-US" w:eastAsia="zh-CN" w:bidi="ar-SA"/>
              </w:rPr>
            </w:pPr>
          </w:p>
        </w:tc>
        <w:tc>
          <w:tcPr>
            <w:tcW w:w="94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4EE6A6">
            <w:pPr>
              <w:jc w:val="center"/>
              <w:textAlignment w:val="center"/>
              <w:rPr>
                <w:rFonts w:hint="default" w:ascii="宋体" w:hAnsi="宋体" w:eastAsia="宋体" w:cs="宋体"/>
                <w:snapToGrid w:val="0"/>
                <w:color w:val="000000"/>
                <w:kern w:val="0"/>
                <w:sz w:val="22"/>
                <w:szCs w:val="22"/>
                <w:lang w:val="en-US" w:eastAsia="zh-CN" w:bidi="ar-SA"/>
              </w:rPr>
            </w:pPr>
            <w:r>
              <w:rPr>
                <w:rFonts w:hint="eastAsia" w:ascii="宋体" w:hAnsi="宋体" w:eastAsia="宋体" w:cs="宋体"/>
                <w:snapToGrid w:val="0"/>
                <w:color w:val="000000"/>
                <w:kern w:val="0"/>
                <w:sz w:val="22"/>
                <w:szCs w:val="22"/>
                <w:lang w:val="en-US" w:eastAsia="zh-CN" w:bidi="ar-SA"/>
              </w:rPr>
              <w:t>1516</w:t>
            </w:r>
          </w:p>
        </w:tc>
        <w:tc>
          <w:tcPr>
            <w:tcW w:w="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43381B">
            <w:pPr>
              <w:rPr>
                <w:rFonts w:ascii="宋体" w:hAnsi="宋体" w:eastAsia="宋体" w:cs="宋体"/>
                <w:color w:val="auto"/>
                <w:sz w:val="22"/>
                <w:szCs w:val="22"/>
                <w:lang w:eastAsia="zh-CN"/>
              </w:rPr>
            </w:pPr>
          </w:p>
        </w:tc>
      </w:tr>
      <w:tr w14:paraId="7674735B">
        <w:tblPrEx>
          <w:tblCellMar>
            <w:top w:w="0" w:type="dxa"/>
            <w:left w:w="108" w:type="dxa"/>
            <w:bottom w:w="0" w:type="dxa"/>
            <w:right w:w="108" w:type="dxa"/>
          </w:tblCellMar>
        </w:tblPrEx>
        <w:trPr>
          <w:trHeight w:val="1147" w:hRule="atLeast"/>
          <w:jc w:val="center"/>
        </w:trPr>
        <w:tc>
          <w:tcPr>
            <w:tcW w:w="516" w:type="dxa"/>
            <w:vMerge w:val="continue"/>
            <w:tcBorders>
              <w:left w:val="single" w:color="000000" w:sz="4" w:space="0"/>
              <w:right w:val="single" w:color="000000" w:sz="4" w:space="0"/>
            </w:tcBorders>
            <w:shd w:val="clear" w:color="auto" w:fill="auto"/>
            <w:vAlign w:val="center"/>
          </w:tcPr>
          <w:p w14:paraId="2DB61D07">
            <w:pPr>
              <w:jc w:val="center"/>
              <w:rPr>
                <w:rFonts w:ascii="宋体" w:hAnsi="宋体" w:eastAsia="宋体" w:cs="宋体"/>
                <w:color w:val="auto"/>
                <w:sz w:val="18"/>
                <w:szCs w:val="18"/>
                <w:lang w:eastAsia="zh-CN"/>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F73A">
            <w:pPr>
              <w:jc w:val="center"/>
              <w:textAlignment w:val="center"/>
              <w:rPr>
                <w:rFonts w:ascii="宋体" w:hAnsi="宋体" w:eastAsia="宋体" w:cs="宋体"/>
                <w:color w:val="auto"/>
                <w:sz w:val="18"/>
                <w:szCs w:val="18"/>
              </w:rPr>
            </w:pPr>
            <w:r>
              <w:rPr>
                <w:rFonts w:hint="eastAsia" w:ascii="宋体" w:hAnsi="宋体" w:eastAsia="宋体" w:cs="宋体"/>
                <w:color w:val="auto"/>
                <w:sz w:val="18"/>
                <w:szCs w:val="18"/>
                <w:lang w:val="en-US" w:eastAsia="zh-Hans" w:bidi="ar"/>
              </w:rPr>
              <w:t>桂山街道</w:t>
            </w:r>
            <w:r>
              <w:rPr>
                <w:rFonts w:hint="default" w:ascii="宋体" w:hAnsi="宋体" w:eastAsia="宋体" w:cs="宋体"/>
                <w:color w:val="auto"/>
                <w:sz w:val="18"/>
                <w:szCs w:val="18"/>
                <w:lang w:eastAsia="zh-Hans" w:bidi="ar"/>
              </w:rPr>
              <w:t>-2</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095E">
            <w:pPr>
              <w:jc w:val="center"/>
              <w:rPr>
                <w:rFonts w:hint="eastAsia" w:ascii="宋体" w:hAnsi="宋体" w:eastAsia="宋体" w:cs="宋体"/>
                <w:color w:val="auto"/>
                <w:sz w:val="18"/>
                <w:szCs w:val="18"/>
                <w:lang w:eastAsia="zh-CN"/>
              </w:rPr>
            </w:pPr>
            <w:r>
              <w:rPr>
                <w:rFonts w:hint="eastAsia" w:ascii="宋体" w:hAnsi="宋体" w:eastAsia="宋体" w:cs="宋体"/>
                <w:sz w:val="18"/>
                <w:szCs w:val="18"/>
                <w:lang w:val="en-US" w:eastAsia="zh-CN"/>
              </w:rPr>
              <w:t>桂</w:t>
            </w:r>
            <w:r>
              <w:rPr>
                <w:rFonts w:hint="eastAsia" w:ascii="宋体" w:hAnsi="宋体" w:eastAsia="宋体" w:cs="宋体"/>
                <w:sz w:val="18"/>
                <w:szCs w:val="18"/>
                <w:lang w:val="en-US" w:eastAsia="zh-Hans"/>
              </w:rPr>
              <w:t>园</w:t>
            </w:r>
            <w:r>
              <w:rPr>
                <w:rFonts w:hint="eastAsia" w:ascii="宋体" w:hAnsi="宋体" w:eastAsia="宋体" w:cs="宋体"/>
                <w:sz w:val="18"/>
                <w:szCs w:val="18"/>
                <w:lang w:val="en-US" w:eastAsia="zh-CN"/>
              </w:rPr>
              <w:t>路</w:t>
            </w:r>
            <w:r>
              <w:rPr>
                <w:rFonts w:hint="eastAsia" w:ascii="宋体" w:hAnsi="宋体" w:eastAsia="宋体" w:cs="宋体"/>
                <w:sz w:val="18"/>
                <w:szCs w:val="18"/>
                <w:lang w:eastAsia="zh-CN"/>
              </w:rPr>
              <w:t>至育新路至平山路</w:t>
            </w:r>
            <w:r>
              <w:rPr>
                <w:rFonts w:hint="eastAsia" w:ascii="宋体" w:hAnsi="宋体" w:eastAsia="宋体" w:cs="宋体"/>
                <w:sz w:val="18"/>
                <w:szCs w:val="18"/>
                <w:lang w:val="en-US" w:eastAsia="zh-CN"/>
              </w:rPr>
              <w:t>至</w:t>
            </w:r>
            <w:r>
              <w:rPr>
                <w:rFonts w:hint="eastAsia" w:ascii="宋体" w:hAnsi="宋体" w:eastAsia="宋体" w:cs="宋体"/>
                <w:sz w:val="18"/>
                <w:szCs w:val="18"/>
                <w:lang w:val="en-US" w:eastAsia="zh-Hans"/>
              </w:rPr>
              <w:t>文化路以</w:t>
            </w:r>
            <w:r>
              <w:rPr>
                <w:rFonts w:hint="eastAsia" w:ascii="宋体" w:hAnsi="宋体" w:eastAsia="宋体" w:cs="宋体"/>
                <w:sz w:val="18"/>
                <w:szCs w:val="18"/>
                <w:lang w:val="en-US" w:eastAsia="zh-CN"/>
              </w:rPr>
              <w:t>东</w:t>
            </w:r>
            <w:r>
              <w:rPr>
                <w:rFonts w:hint="eastAsia" w:ascii="宋体" w:hAnsi="宋体" w:eastAsia="宋体" w:cs="宋体"/>
                <w:sz w:val="18"/>
                <w:szCs w:val="18"/>
                <w:lang w:val="en-US" w:eastAsia="zh-Hans"/>
              </w:rPr>
              <w:t>片区</w:t>
            </w:r>
            <w:r>
              <w:rPr>
                <w:rFonts w:hint="eastAsia" w:ascii="宋体" w:hAnsi="宋体" w:eastAsia="宋体" w:cs="宋体"/>
                <w:sz w:val="18"/>
                <w:szCs w:val="18"/>
                <w:lang w:val="en-US" w:eastAsia="zh-CN"/>
              </w:rPr>
              <w:t>（含上述路段）</w:t>
            </w:r>
            <w:r>
              <w:rPr>
                <w:rFonts w:hint="eastAsia" w:ascii="宋体" w:hAnsi="宋体" w:eastAsia="宋体" w:cs="宋体"/>
                <w:sz w:val="18"/>
                <w:szCs w:val="18"/>
                <w:lang w:eastAsia="zh-CN"/>
              </w:rPr>
              <w:t>至</w:t>
            </w:r>
            <w:r>
              <w:rPr>
                <w:rFonts w:hint="eastAsia" w:ascii="宋体" w:hAnsi="宋体" w:eastAsia="宋体" w:cs="宋体"/>
                <w:sz w:val="18"/>
                <w:szCs w:val="18"/>
                <w:lang w:val="en-US" w:eastAsia="zh-Hans"/>
              </w:rPr>
              <w:t>河滨路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4AFA">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198</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8E74">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173</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5653BF92">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25</w:t>
            </w:r>
          </w:p>
        </w:tc>
        <w:tc>
          <w:tcPr>
            <w:tcW w:w="2985" w:type="dxa"/>
            <w:vMerge w:val="continue"/>
            <w:tcBorders>
              <w:left w:val="single" w:color="auto" w:sz="4" w:space="0"/>
              <w:right w:val="single" w:color="000000" w:sz="4" w:space="0"/>
            </w:tcBorders>
            <w:shd w:val="clear" w:color="auto" w:fill="auto"/>
            <w:vAlign w:val="center"/>
          </w:tcPr>
          <w:p w14:paraId="69BA1ECD">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05845C5F">
            <w:pPr>
              <w:jc w:val="cente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21290D">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77AE08">
            <w:pPr>
              <w:jc w:val="center"/>
              <w:rPr>
                <w:rFonts w:ascii="宋体" w:hAnsi="宋体" w:eastAsia="宋体" w:cs="宋体"/>
                <w:color w:val="auto"/>
                <w:sz w:val="22"/>
                <w:szCs w:val="22"/>
              </w:rPr>
            </w:pPr>
          </w:p>
        </w:tc>
      </w:tr>
      <w:tr w14:paraId="2672F363">
        <w:tblPrEx>
          <w:tblCellMar>
            <w:top w:w="0" w:type="dxa"/>
            <w:left w:w="108" w:type="dxa"/>
            <w:bottom w:w="0" w:type="dxa"/>
            <w:right w:w="108" w:type="dxa"/>
          </w:tblCellMar>
        </w:tblPrEx>
        <w:trPr>
          <w:trHeight w:val="1147" w:hRule="atLeast"/>
          <w:jc w:val="center"/>
        </w:trPr>
        <w:tc>
          <w:tcPr>
            <w:tcW w:w="516" w:type="dxa"/>
            <w:vMerge w:val="continue"/>
            <w:tcBorders>
              <w:left w:val="single" w:color="000000" w:sz="4" w:space="0"/>
              <w:right w:val="single" w:color="000000" w:sz="4" w:space="0"/>
            </w:tcBorders>
            <w:shd w:val="clear" w:color="auto" w:fill="auto"/>
            <w:vAlign w:val="center"/>
          </w:tcPr>
          <w:p w14:paraId="19989D66">
            <w:pPr>
              <w:jc w:val="center"/>
              <w:rPr>
                <w:rFonts w:ascii="宋体" w:hAnsi="宋体" w:eastAsia="宋体" w:cs="宋体"/>
                <w:color w:val="auto"/>
                <w:sz w:val="18"/>
                <w:szCs w:val="18"/>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2E57">
            <w:pPr>
              <w:jc w:val="center"/>
              <w:textAlignment w:val="center"/>
              <w:rPr>
                <w:rFonts w:hint="eastAsia" w:ascii="宋体" w:hAnsi="宋体" w:eastAsia="宋体" w:cs="宋体"/>
                <w:color w:val="auto"/>
                <w:sz w:val="18"/>
                <w:szCs w:val="18"/>
                <w:lang w:eastAsia="zh-Hans"/>
              </w:rPr>
            </w:pPr>
            <w:r>
              <w:rPr>
                <w:rFonts w:hint="eastAsia" w:ascii="宋体" w:hAnsi="宋体" w:eastAsia="宋体" w:cs="宋体"/>
                <w:color w:val="auto"/>
                <w:sz w:val="18"/>
                <w:szCs w:val="18"/>
                <w:lang w:val="en-US" w:eastAsia="zh-Hans" w:bidi="ar"/>
              </w:rPr>
              <w:t>古城街道</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40DF">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以</w:t>
            </w:r>
            <w:r>
              <w:rPr>
                <w:rFonts w:hint="eastAsia" w:ascii="宋体" w:hAnsi="宋体" w:eastAsia="宋体" w:cs="宋体"/>
                <w:color w:val="auto"/>
                <w:sz w:val="18"/>
                <w:szCs w:val="18"/>
                <w:lang w:val="en-US" w:eastAsia="zh-Hans" w:bidi="ar"/>
              </w:rPr>
              <w:t>古城街道</w:t>
            </w:r>
            <w:r>
              <w:rPr>
                <w:rFonts w:hint="eastAsia" w:ascii="宋体" w:hAnsi="宋体" w:eastAsia="宋体" w:cs="宋体"/>
                <w:color w:val="auto"/>
                <w:sz w:val="18"/>
                <w:szCs w:val="18"/>
                <w:lang w:val="en-US" w:eastAsia="zh-Hans"/>
              </w:rPr>
              <w:t>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CBD5">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181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82CB">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169</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01834DB2">
            <w:pPr>
              <w:jc w:val="center"/>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12</w:t>
            </w:r>
          </w:p>
        </w:tc>
        <w:tc>
          <w:tcPr>
            <w:tcW w:w="2985" w:type="dxa"/>
            <w:vMerge w:val="continue"/>
            <w:tcBorders>
              <w:left w:val="single" w:color="auto" w:sz="4" w:space="0"/>
              <w:bottom w:val="single" w:color="auto" w:sz="4" w:space="0"/>
              <w:right w:val="single" w:color="000000" w:sz="4" w:space="0"/>
            </w:tcBorders>
            <w:shd w:val="clear" w:color="auto" w:fill="auto"/>
            <w:vAlign w:val="center"/>
          </w:tcPr>
          <w:p w14:paraId="6F2E4904">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4D9300AB">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969826">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09734A">
            <w:pPr>
              <w:jc w:val="center"/>
              <w:rPr>
                <w:rFonts w:ascii="宋体" w:hAnsi="宋体" w:eastAsia="宋体" w:cs="宋体"/>
                <w:color w:val="auto"/>
                <w:sz w:val="22"/>
                <w:szCs w:val="22"/>
              </w:rPr>
            </w:pPr>
          </w:p>
        </w:tc>
      </w:tr>
      <w:tr w14:paraId="65A4BEFC">
        <w:tblPrEx>
          <w:tblCellMar>
            <w:top w:w="0" w:type="dxa"/>
            <w:left w:w="108" w:type="dxa"/>
            <w:bottom w:w="0" w:type="dxa"/>
            <w:right w:w="108" w:type="dxa"/>
          </w:tblCellMar>
        </w:tblPrEx>
        <w:trPr>
          <w:trHeight w:val="1090" w:hRule="atLeast"/>
          <w:jc w:val="center"/>
        </w:trPr>
        <w:tc>
          <w:tcPr>
            <w:tcW w:w="516" w:type="dxa"/>
            <w:vMerge w:val="continue"/>
            <w:tcBorders>
              <w:left w:val="single" w:color="000000" w:sz="4" w:space="0"/>
              <w:right w:val="single" w:color="000000" w:sz="4" w:space="0"/>
            </w:tcBorders>
            <w:shd w:val="clear" w:color="auto" w:fill="auto"/>
            <w:vAlign w:val="center"/>
          </w:tcPr>
          <w:p w14:paraId="6705175B">
            <w:pPr>
              <w:jc w:val="center"/>
              <w:rPr>
                <w:rFonts w:ascii="宋体" w:hAnsi="宋体" w:eastAsia="宋体" w:cs="宋体"/>
                <w:color w:val="auto"/>
                <w:sz w:val="18"/>
                <w:szCs w:val="18"/>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C7D2">
            <w:pPr>
              <w:jc w:val="center"/>
              <w:textAlignment w:val="center"/>
              <w:rPr>
                <w:rFonts w:hint="eastAsia" w:ascii="宋体" w:hAnsi="宋体" w:eastAsia="宋体" w:cs="宋体"/>
                <w:color w:val="auto"/>
                <w:sz w:val="18"/>
                <w:szCs w:val="18"/>
                <w:lang w:eastAsia="zh-Hans"/>
              </w:rPr>
            </w:pPr>
            <w:r>
              <w:rPr>
                <w:rFonts w:hint="eastAsia" w:ascii="宋体" w:hAnsi="宋体" w:eastAsia="宋体" w:cs="宋体"/>
                <w:color w:val="auto"/>
                <w:sz w:val="18"/>
                <w:szCs w:val="18"/>
                <w:lang w:val="en-US" w:eastAsia="zh-Hans"/>
              </w:rPr>
              <w:t>扬武镇</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9E65">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以扬武镇行政区划为界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5CD5">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r>
              <w:rPr>
                <w:rFonts w:hint="default" w:ascii="宋体" w:hAnsi="宋体" w:eastAsia="宋体" w:cs="宋体"/>
                <w:color w:val="auto"/>
                <w:sz w:val="18"/>
                <w:szCs w:val="18"/>
                <w:lang w:eastAsia="zh-CN"/>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BBFF">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140</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0A7CDCCA">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21</w:t>
            </w:r>
          </w:p>
        </w:tc>
        <w:tc>
          <w:tcPr>
            <w:tcW w:w="2985" w:type="dxa"/>
            <w:tcBorders>
              <w:top w:val="single" w:color="auto" w:sz="4" w:space="0"/>
              <w:left w:val="single" w:color="auto" w:sz="4" w:space="0"/>
              <w:bottom w:val="single" w:color="auto" w:sz="4" w:space="0"/>
              <w:right w:val="single" w:color="auto" w:sz="4" w:space="0"/>
            </w:tcBorders>
            <w:shd w:val="clear" w:color="auto" w:fill="auto"/>
            <w:vAlign w:val="center"/>
          </w:tcPr>
          <w:p w14:paraId="376D932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12" w:lineRule="auto"/>
              <w:textAlignment w:val="baseline"/>
              <w:rPr>
                <w:rFonts w:ascii="宋体" w:hAnsi="宋体" w:eastAsia="宋体" w:cs="宋体"/>
                <w:color w:val="auto"/>
                <w:sz w:val="22"/>
                <w:szCs w:val="22"/>
              </w:rPr>
            </w:pPr>
            <w:r>
              <w:rPr>
                <w:rFonts w:hint="eastAsia" w:asciiTheme="minorEastAsia" w:hAnsiTheme="minorEastAsia" w:eastAsiaTheme="minorEastAsia" w:cstheme="minorEastAsia"/>
                <w:sz w:val="18"/>
                <w:szCs w:val="18"/>
              </w:rPr>
              <w:t>乡镇所在地</w:t>
            </w:r>
            <w:r>
              <w:rPr>
                <w:rFonts w:hint="eastAsia" w:asciiTheme="minorEastAsia" w:hAnsiTheme="minorEastAsia" w:eastAsiaTheme="minorEastAsia" w:cstheme="minorEastAsia"/>
                <w:sz w:val="18"/>
                <w:szCs w:val="18"/>
                <w:lang w:val="en-US" w:eastAsia="zh-Hans"/>
              </w:rPr>
              <w:t>街道</w:t>
            </w:r>
            <w:r>
              <w:rPr>
                <w:rFonts w:hint="eastAsia" w:asciiTheme="minorEastAsia" w:hAnsiTheme="minorEastAsia" w:eastAsiaTheme="minorEastAsia" w:cstheme="minorEastAsia"/>
                <w:sz w:val="18"/>
                <w:szCs w:val="18"/>
              </w:rPr>
              <w:t>零售点间隔距离</w:t>
            </w:r>
            <w:r>
              <w:rPr>
                <w:rFonts w:hint="eastAsia" w:asciiTheme="minorEastAsia" w:hAnsiTheme="minorEastAsia" w:eastAsiaTheme="minorEastAsia" w:cstheme="minorEastAsia"/>
                <w:sz w:val="18"/>
                <w:szCs w:val="18"/>
                <w:lang w:val="en-US" w:eastAsia="zh-CN"/>
              </w:rPr>
              <w:t>不低于</w:t>
            </w:r>
            <w:r>
              <w:rPr>
                <w:rFonts w:hint="eastAsia" w:asciiTheme="minorEastAsia" w:hAnsiTheme="minorEastAsia" w:eastAsiaTheme="minorEastAsia" w:cstheme="minorEastAsia"/>
                <w:sz w:val="18"/>
                <w:szCs w:val="18"/>
              </w:rPr>
              <w:t>30米</w:t>
            </w:r>
            <w:r>
              <w:rPr>
                <w:rFonts w:hint="eastAsia" w:asciiTheme="minorEastAsia" w:hAnsiTheme="minorEastAsia" w:eastAsiaTheme="minorEastAsia" w:cstheme="minorEastAsia"/>
                <w:sz w:val="18"/>
                <w:szCs w:val="18"/>
                <w:lang w:eastAsia="zh-CN"/>
              </w:rPr>
              <w:t>（含大开门社区街道）。</w:t>
            </w:r>
          </w:p>
        </w:tc>
        <w:tc>
          <w:tcPr>
            <w:tcW w:w="438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FB6F16">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9F5ADC">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DBDC94">
            <w:pPr>
              <w:jc w:val="center"/>
              <w:rPr>
                <w:rFonts w:ascii="宋体" w:hAnsi="宋体" w:eastAsia="宋体" w:cs="宋体"/>
                <w:color w:val="auto"/>
                <w:sz w:val="22"/>
                <w:szCs w:val="22"/>
              </w:rPr>
            </w:pPr>
          </w:p>
        </w:tc>
      </w:tr>
      <w:tr w14:paraId="73CF92FA">
        <w:tblPrEx>
          <w:tblCellMar>
            <w:top w:w="0" w:type="dxa"/>
            <w:left w:w="108" w:type="dxa"/>
            <w:bottom w:w="0" w:type="dxa"/>
            <w:right w:w="108" w:type="dxa"/>
          </w:tblCellMar>
        </w:tblPrEx>
        <w:trPr>
          <w:trHeight w:val="767" w:hRule="atLeast"/>
          <w:jc w:val="center"/>
        </w:trPr>
        <w:tc>
          <w:tcPr>
            <w:tcW w:w="516" w:type="dxa"/>
            <w:vMerge w:val="continue"/>
            <w:tcBorders>
              <w:left w:val="single" w:color="000000" w:sz="4" w:space="0"/>
              <w:right w:val="single" w:color="000000" w:sz="4" w:space="0"/>
            </w:tcBorders>
            <w:shd w:val="clear" w:color="auto" w:fill="auto"/>
            <w:vAlign w:val="center"/>
          </w:tcPr>
          <w:p w14:paraId="44ADF703">
            <w:pPr>
              <w:jc w:val="center"/>
              <w:rPr>
                <w:rFonts w:ascii="宋体" w:hAnsi="宋体" w:eastAsia="宋体" w:cs="宋体"/>
                <w:color w:val="auto"/>
                <w:sz w:val="18"/>
                <w:szCs w:val="18"/>
              </w:rPr>
            </w:pPr>
          </w:p>
        </w:tc>
        <w:tc>
          <w:tcPr>
            <w:tcW w:w="1354" w:type="dxa"/>
            <w:tcBorders>
              <w:top w:val="single" w:color="000000" w:sz="4" w:space="0"/>
              <w:left w:val="single" w:color="000000" w:sz="4" w:space="0"/>
              <w:right w:val="single" w:color="000000" w:sz="4" w:space="0"/>
            </w:tcBorders>
            <w:shd w:val="clear" w:color="auto" w:fill="auto"/>
            <w:vAlign w:val="center"/>
          </w:tcPr>
          <w:p w14:paraId="07B5D6AD">
            <w:pPr>
              <w:jc w:val="center"/>
              <w:rPr>
                <w:rFonts w:hint="eastAsia" w:eastAsia="Arial"/>
                <w:sz w:val="18"/>
                <w:szCs w:val="18"/>
                <w:lang w:val="en-US" w:eastAsia="zh-Hans"/>
              </w:rPr>
            </w:pPr>
            <w:r>
              <w:rPr>
                <w:rFonts w:hint="eastAsia" w:ascii="宋体" w:hAnsi="宋体" w:eastAsia="宋体" w:cs="宋体"/>
                <w:color w:val="auto"/>
                <w:sz w:val="18"/>
                <w:szCs w:val="18"/>
                <w:lang w:val="en-US" w:eastAsia="zh-Hans"/>
              </w:rPr>
              <w:t>戛洒镇</w:t>
            </w:r>
          </w:p>
        </w:tc>
        <w:tc>
          <w:tcPr>
            <w:tcW w:w="2131" w:type="dxa"/>
            <w:tcBorders>
              <w:top w:val="single" w:color="000000" w:sz="4" w:space="0"/>
              <w:left w:val="single" w:color="000000" w:sz="4" w:space="0"/>
              <w:right w:val="single" w:color="000000" w:sz="4" w:space="0"/>
            </w:tcBorders>
            <w:shd w:val="clear" w:color="auto" w:fill="auto"/>
            <w:vAlign w:val="center"/>
          </w:tcPr>
          <w:p w14:paraId="0D686CD9">
            <w:pPr>
              <w:tabs>
                <w:tab w:val="left" w:pos="395"/>
              </w:tabs>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以戛洒镇行政区划为界</w:t>
            </w:r>
          </w:p>
        </w:tc>
        <w:tc>
          <w:tcPr>
            <w:tcW w:w="735" w:type="dxa"/>
            <w:tcBorders>
              <w:top w:val="single" w:color="000000" w:sz="4" w:space="0"/>
              <w:left w:val="single" w:color="000000" w:sz="4" w:space="0"/>
              <w:right w:val="single" w:color="000000" w:sz="4" w:space="0"/>
            </w:tcBorders>
            <w:shd w:val="clear" w:color="auto" w:fill="auto"/>
            <w:vAlign w:val="center"/>
          </w:tcPr>
          <w:p w14:paraId="5F82328A">
            <w:pPr>
              <w:tabs>
                <w:tab w:val="left" w:pos="395"/>
              </w:tabs>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291</w:t>
            </w:r>
          </w:p>
        </w:tc>
        <w:tc>
          <w:tcPr>
            <w:tcW w:w="870" w:type="dxa"/>
            <w:tcBorders>
              <w:top w:val="single" w:color="000000" w:sz="4" w:space="0"/>
              <w:left w:val="single" w:color="000000" w:sz="4" w:space="0"/>
              <w:right w:val="single" w:color="000000" w:sz="4" w:space="0"/>
            </w:tcBorders>
            <w:shd w:val="clear" w:color="auto" w:fill="auto"/>
            <w:vAlign w:val="center"/>
          </w:tcPr>
          <w:p w14:paraId="71925431">
            <w:pPr>
              <w:jc w:val="center"/>
              <w:rPr>
                <w:rFonts w:hint="default"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CN"/>
              </w:rPr>
              <w:t>284</w:t>
            </w:r>
          </w:p>
        </w:tc>
        <w:tc>
          <w:tcPr>
            <w:tcW w:w="630" w:type="dxa"/>
            <w:tcBorders>
              <w:top w:val="single" w:color="000000" w:sz="4" w:space="0"/>
              <w:left w:val="single" w:color="000000" w:sz="4" w:space="0"/>
              <w:bottom w:val="single" w:color="auto" w:sz="4" w:space="0"/>
              <w:right w:val="single" w:color="auto" w:sz="4" w:space="0"/>
            </w:tcBorders>
            <w:shd w:val="clear" w:color="auto" w:fill="auto"/>
            <w:vAlign w:val="center"/>
          </w:tcPr>
          <w:p w14:paraId="2262FF29">
            <w:pPr>
              <w:tabs>
                <w:tab w:val="left" w:pos="395"/>
              </w:tabs>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7</w:t>
            </w:r>
          </w:p>
        </w:tc>
        <w:tc>
          <w:tcPr>
            <w:tcW w:w="2985" w:type="dxa"/>
            <w:vMerge w:val="restart"/>
            <w:tcBorders>
              <w:top w:val="single" w:color="auto" w:sz="4" w:space="0"/>
              <w:left w:val="single" w:color="auto" w:sz="4" w:space="0"/>
              <w:right w:val="single" w:color="auto" w:sz="4" w:space="0"/>
            </w:tcBorders>
            <w:shd w:val="clear" w:color="auto" w:fill="auto"/>
            <w:vAlign w:val="center"/>
          </w:tcPr>
          <w:p w14:paraId="3937B295">
            <w:pPr>
              <w:jc w:val="both"/>
              <w:rPr>
                <w:rFonts w:ascii="宋体" w:hAnsi="宋体" w:eastAsia="宋体" w:cs="宋体"/>
                <w:color w:val="auto"/>
                <w:sz w:val="22"/>
                <w:szCs w:val="22"/>
              </w:rPr>
            </w:pPr>
            <w:r>
              <w:rPr>
                <w:rFonts w:hint="eastAsia" w:asciiTheme="minorEastAsia" w:hAnsiTheme="minorEastAsia" w:eastAsiaTheme="minorEastAsia" w:cstheme="minorEastAsia"/>
                <w:sz w:val="18"/>
                <w:szCs w:val="18"/>
              </w:rPr>
              <w:t>乡镇所在地</w:t>
            </w:r>
            <w:r>
              <w:rPr>
                <w:rFonts w:hint="eastAsia" w:asciiTheme="minorEastAsia" w:hAnsiTheme="minorEastAsia" w:eastAsiaTheme="minorEastAsia" w:cstheme="minorEastAsia"/>
                <w:sz w:val="18"/>
                <w:szCs w:val="18"/>
                <w:lang w:val="en-US" w:eastAsia="zh-Hans"/>
              </w:rPr>
              <w:t>街道</w:t>
            </w:r>
            <w:r>
              <w:rPr>
                <w:rFonts w:hint="eastAsia" w:asciiTheme="minorEastAsia" w:hAnsiTheme="minorEastAsia" w:eastAsiaTheme="minorEastAsia" w:cstheme="minorEastAsia"/>
                <w:sz w:val="18"/>
                <w:szCs w:val="18"/>
              </w:rPr>
              <w:t>零售点间隔距离</w:t>
            </w:r>
            <w:r>
              <w:rPr>
                <w:rFonts w:hint="eastAsia" w:asciiTheme="minorEastAsia" w:hAnsiTheme="minorEastAsia" w:eastAsiaTheme="minorEastAsia" w:cstheme="minorEastAsia"/>
                <w:sz w:val="18"/>
                <w:szCs w:val="18"/>
                <w:lang w:val="en-US" w:eastAsia="zh-CN"/>
              </w:rPr>
              <w:t>不低于</w:t>
            </w:r>
            <w:r>
              <w:rPr>
                <w:rFonts w:hint="eastAsia" w:asciiTheme="minorEastAsia" w:hAnsiTheme="minorEastAsia" w:eastAsiaTheme="minorEastAsia" w:cstheme="minorEastAsia"/>
                <w:sz w:val="18"/>
                <w:szCs w:val="18"/>
              </w:rPr>
              <w:t>30米</w:t>
            </w:r>
            <w:r>
              <w:rPr>
                <w:rFonts w:hint="eastAsia" w:asciiTheme="minorEastAsia" w:hAnsiTheme="minorEastAsia" w:eastAsiaTheme="minorEastAsia" w:cstheme="minorEastAsia"/>
                <w:sz w:val="18"/>
                <w:szCs w:val="18"/>
                <w:lang w:eastAsia="zh-CN"/>
              </w:rPr>
              <w:t>。</w:t>
            </w:r>
          </w:p>
          <w:p w14:paraId="3592F56B">
            <w:pPr>
              <w:jc w:val="center"/>
              <w:rPr>
                <w:rFonts w:hint="eastAsia" w:ascii="宋体" w:hAnsi="宋体" w:cs="宋体" w:eastAsiaTheme="minorEastAsia"/>
                <w:color w:val="auto"/>
                <w:sz w:val="22"/>
                <w:szCs w:val="22"/>
                <w:lang w:eastAsia="zh-CN"/>
              </w:rPr>
            </w:pPr>
          </w:p>
        </w:tc>
        <w:tc>
          <w:tcPr>
            <w:tcW w:w="438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C94214">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BFE445">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673196">
            <w:pPr>
              <w:jc w:val="center"/>
              <w:rPr>
                <w:rFonts w:ascii="宋体" w:hAnsi="宋体" w:eastAsia="宋体" w:cs="宋体"/>
                <w:color w:val="auto"/>
                <w:sz w:val="22"/>
                <w:szCs w:val="22"/>
              </w:rPr>
            </w:pPr>
          </w:p>
        </w:tc>
      </w:tr>
      <w:tr w14:paraId="6551474C">
        <w:tblPrEx>
          <w:tblCellMar>
            <w:top w:w="0" w:type="dxa"/>
            <w:left w:w="108" w:type="dxa"/>
            <w:bottom w:w="0" w:type="dxa"/>
            <w:right w:w="108" w:type="dxa"/>
          </w:tblCellMar>
        </w:tblPrEx>
        <w:trPr>
          <w:trHeight w:val="675" w:hRule="atLeast"/>
          <w:jc w:val="center"/>
        </w:trPr>
        <w:tc>
          <w:tcPr>
            <w:tcW w:w="516" w:type="dxa"/>
            <w:vMerge w:val="continue"/>
            <w:tcBorders>
              <w:left w:val="single" w:color="000000" w:sz="4" w:space="0"/>
              <w:right w:val="single" w:color="000000" w:sz="4" w:space="0"/>
            </w:tcBorders>
            <w:shd w:val="clear" w:color="auto" w:fill="auto"/>
            <w:vAlign w:val="center"/>
          </w:tcPr>
          <w:p w14:paraId="1C7D699F">
            <w:pPr>
              <w:jc w:val="center"/>
              <w:rPr>
                <w:rFonts w:ascii="宋体" w:hAnsi="宋体" w:eastAsia="宋体" w:cs="宋体"/>
                <w:color w:val="auto"/>
                <w:sz w:val="22"/>
                <w:szCs w:val="22"/>
              </w:rPr>
            </w:pPr>
          </w:p>
        </w:tc>
        <w:tc>
          <w:tcPr>
            <w:tcW w:w="1354" w:type="dxa"/>
            <w:tcBorders>
              <w:top w:val="single" w:color="auto" w:sz="4" w:space="0"/>
              <w:left w:val="single" w:color="000000" w:sz="4" w:space="0"/>
              <w:bottom w:val="single" w:color="000000" w:sz="4" w:space="0"/>
              <w:right w:val="single" w:color="000000" w:sz="4" w:space="0"/>
            </w:tcBorders>
            <w:shd w:val="clear" w:color="auto" w:fill="auto"/>
            <w:vAlign w:val="center"/>
          </w:tcPr>
          <w:p w14:paraId="02A49F29">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漠沙镇</w:t>
            </w:r>
          </w:p>
        </w:tc>
        <w:tc>
          <w:tcPr>
            <w:tcW w:w="2131" w:type="dxa"/>
            <w:tcBorders>
              <w:top w:val="single" w:color="auto" w:sz="4" w:space="0"/>
              <w:left w:val="single" w:color="000000" w:sz="4" w:space="0"/>
              <w:bottom w:val="single" w:color="000000" w:sz="4" w:space="0"/>
              <w:right w:val="single" w:color="000000" w:sz="4" w:space="0"/>
            </w:tcBorders>
            <w:shd w:val="clear" w:color="auto" w:fill="auto"/>
            <w:vAlign w:val="center"/>
          </w:tcPr>
          <w:p w14:paraId="755F04BF">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以漠沙镇行政区划为界</w:t>
            </w:r>
          </w:p>
        </w:tc>
        <w:tc>
          <w:tcPr>
            <w:tcW w:w="735" w:type="dxa"/>
            <w:tcBorders>
              <w:top w:val="single" w:color="auto" w:sz="4" w:space="0"/>
              <w:left w:val="single" w:color="000000" w:sz="4" w:space="0"/>
              <w:bottom w:val="single" w:color="000000" w:sz="4" w:space="0"/>
              <w:right w:val="single" w:color="000000" w:sz="4" w:space="0"/>
            </w:tcBorders>
            <w:shd w:val="clear" w:color="auto" w:fill="auto"/>
            <w:vAlign w:val="center"/>
          </w:tcPr>
          <w:p w14:paraId="7DCE41CE">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160</w:t>
            </w:r>
          </w:p>
        </w:tc>
        <w:tc>
          <w:tcPr>
            <w:tcW w:w="870" w:type="dxa"/>
            <w:tcBorders>
              <w:top w:val="single" w:color="auto" w:sz="4" w:space="0"/>
              <w:left w:val="single" w:color="000000" w:sz="4" w:space="0"/>
              <w:bottom w:val="single" w:color="000000" w:sz="4" w:space="0"/>
              <w:right w:val="single" w:color="000000" w:sz="4" w:space="0"/>
            </w:tcBorders>
            <w:shd w:val="clear" w:color="auto" w:fill="auto"/>
            <w:vAlign w:val="center"/>
          </w:tcPr>
          <w:p w14:paraId="5ACE7FBC">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174</w:t>
            </w:r>
          </w:p>
        </w:tc>
        <w:tc>
          <w:tcPr>
            <w:tcW w:w="630" w:type="dxa"/>
            <w:tcBorders>
              <w:top w:val="single" w:color="auto" w:sz="4" w:space="0"/>
              <w:left w:val="single" w:color="000000" w:sz="4" w:space="0"/>
              <w:bottom w:val="single" w:color="000000" w:sz="4" w:space="0"/>
              <w:right w:val="single" w:color="auto" w:sz="4" w:space="0"/>
            </w:tcBorders>
            <w:shd w:val="clear" w:color="auto" w:fill="auto"/>
            <w:vAlign w:val="center"/>
          </w:tcPr>
          <w:p w14:paraId="2C4A511C">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-14</w:t>
            </w:r>
          </w:p>
        </w:tc>
        <w:tc>
          <w:tcPr>
            <w:tcW w:w="2985" w:type="dxa"/>
            <w:vMerge w:val="continue"/>
            <w:tcBorders>
              <w:left w:val="single" w:color="auto" w:sz="4" w:space="0"/>
              <w:right w:val="single" w:color="auto" w:sz="4" w:space="0"/>
            </w:tcBorders>
            <w:shd w:val="clear" w:color="auto" w:fill="auto"/>
            <w:vAlign w:val="center"/>
          </w:tcPr>
          <w:p w14:paraId="2D0F38D8">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34DC6091">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2C78EE">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02D91D">
            <w:pPr>
              <w:rPr>
                <w:rFonts w:ascii="宋体" w:hAnsi="宋体" w:eastAsia="宋体" w:cs="宋体"/>
                <w:color w:val="auto"/>
                <w:sz w:val="22"/>
                <w:szCs w:val="22"/>
              </w:rPr>
            </w:pPr>
          </w:p>
        </w:tc>
      </w:tr>
      <w:tr w14:paraId="5E722FB7">
        <w:tblPrEx>
          <w:tblCellMar>
            <w:top w:w="0" w:type="dxa"/>
            <w:left w:w="108" w:type="dxa"/>
            <w:bottom w:w="0" w:type="dxa"/>
            <w:right w:w="108" w:type="dxa"/>
          </w:tblCellMar>
        </w:tblPrEx>
        <w:trPr>
          <w:trHeight w:val="693" w:hRule="atLeast"/>
          <w:jc w:val="center"/>
        </w:trPr>
        <w:tc>
          <w:tcPr>
            <w:tcW w:w="516" w:type="dxa"/>
            <w:vMerge w:val="continue"/>
            <w:tcBorders>
              <w:left w:val="single" w:color="000000" w:sz="4" w:space="0"/>
              <w:right w:val="single" w:color="000000" w:sz="4" w:space="0"/>
            </w:tcBorders>
            <w:shd w:val="clear" w:color="auto" w:fill="auto"/>
            <w:vAlign w:val="center"/>
          </w:tcPr>
          <w:p w14:paraId="7506AF17">
            <w:pPr>
              <w:jc w:val="center"/>
              <w:rPr>
                <w:rFonts w:ascii="宋体" w:hAnsi="宋体" w:eastAsia="宋体" w:cs="宋体"/>
                <w:color w:val="auto"/>
                <w:sz w:val="22"/>
                <w:szCs w:val="22"/>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3DB7">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水塘镇</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6E19">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以水塘镇行政区划为界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181A">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59</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93C6">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51</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286DA49B">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8</w:t>
            </w:r>
          </w:p>
        </w:tc>
        <w:tc>
          <w:tcPr>
            <w:tcW w:w="2985" w:type="dxa"/>
            <w:vMerge w:val="continue"/>
            <w:tcBorders>
              <w:left w:val="single" w:color="auto" w:sz="4" w:space="0"/>
              <w:right w:val="single" w:color="auto" w:sz="4" w:space="0"/>
            </w:tcBorders>
            <w:shd w:val="clear" w:color="auto" w:fill="auto"/>
            <w:vAlign w:val="center"/>
          </w:tcPr>
          <w:p w14:paraId="2C0A466F">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7FA0CE24">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D97774">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A3A2BD">
            <w:pPr>
              <w:rPr>
                <w:rFonts w:ascii="宋体" w:hAnsi="宋体" w:eastAsia="宋体" w:cs="宋体"/>
                <w:color w:val="auto"/>
                <w:sz w:val="22"/>
                <w:szCs w:val="22"/>
              </w:rPr>
            </w:pPr>
          </w:p>
        </w:tc>
      </w:tr>
      <w:tr w14:paraId="49D64AAC">
        <w:tblPrEx>
          <w:tblCellMar>
            <w:top w:w="0" w:type="dxa"/>
            <w:left w:w="108" w:type="dxa"/>
            <w:bottom w:w="0" w:type="dxa"/>
            <w:right w:w="108" w:type="dxa"/>
          </w:tblCellMar>
        </w:tblPrEx>
        <w:trPr>
          <w:trHeight w:val="717" w:hRule="atLeast"/>
          <w:jc w:val="center"/>
        </w:trPr>
        <w:tc>
          <w:tcPr>
            <w:tcW w:w="516" w:type="dxa"/>
            <w:vMerge w:val="continue"/>
            <w:tcBorders>
              <w:left w:val="single" w:color="000000" w:sz="4" w:space="0"/>
              <w:right w:val="single" w:color="000000" w:sz="4" w:space="0"/>
            </w:tcBorders>
            <w:shd w:val="clear" w:color="auto" w:fill="auto"/>
            <w:vAlign w:val="center"/>
          </w:tcPr>
          <w:p w14:paraId="07EFBE87">
            <w:pPr>
              <w:jc w:val="center"/>
              <w:rPr>
                <w:rFonts w:ascii="宋体" w:hAnsi="宋体" w:eastAsia="宋体" w:cs="宋体"/>
                <w:color w:val="auto"/>
                <w:sz w:val="22"/>
                <w:szCs w:val="22"/>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3A23">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新化乡</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7A3C">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以新化乡行政区划为界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B3D6">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55</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B971">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45</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7248ED73">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w:t>
            </w:r>
          </w:p>
        </w:tc>
        <w:tc>
          <w:tcPr>
            <w:tcW w:w="2985" w:type="dxa"/>
            <w:vMerge w:val="continue"/>
            <w:tcBorders>
              <w:left w:val="single" w:color="auto" w:sz="4" w:space="0"/>
              <w:right w:val="single" w:color="auto" w:sz="4" w:space="0"/>
            </w:tcBorders>
            <w:shd w:val="clear" w:color="auto" w:fill="auto"/>
            <w:vAlign w:val="center"/>
          </w:tcPr>
          <w:p w14:paraId="48C94DDE">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2D9A8F70">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A74FE6">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D67E31">
            <w:pPr>
              <w:rPr>
                <w:rFonts w:ascii="宋体" w:hAnsi="宋体" w:eastAsia="宋体" w:cs="宋体"/>
                <w:color w:val="auto"/>
                <w:sz w:val="22"/>
                <w:szCs w:val="22"/>
              </w:rPr>
            </w:pPr>
          </w:p>
        </w:tc>
      </w:tr>
      <w:tr w14:paraId="43AAB002">
        <w:tblPrEx>
          <w:tblCellMar>
            <w:top w:w="0" w:type="dxa"/>
            <w:left w:w="108" w:type="dxa"/>
            <w:bottom w:w="0" w:type="dxa"/>
            <w:right w:w="108" w:type="dxa"/>
          </w:tblCellMar>
        </w:tblPrEx>
        <w:trPr>
          <w:trHeight w:val="742" w:hRule="atLeast"/>
          <w:jc w:val="center"/>
        </w:trPr>
        <w:tc>
          <w:tcPr>
            <w:tcW w:w="516" w:type="dxa"/>
            <w:vMerge w:val="continue"/>
            <w:tcBorders>
              <w:left w:val="single" w:color="000000" w:sz="4" w:space="0"/>
              <w:right w:val="single" w:color="000000" w:sz="4" w:space="0"/>
            </w:tcBorders>
            <w:shd w:val="clear" w:color="auto" w:fill="auto"/>
            <w:vAlign w:val="center"/>
          </w:tcPr>
          <w:p w14:paraId="0A986112">
            <w:pPr>
              <w:jc w:val="center"/>
              <w:rPr>
                <w:rFonts w:ascii="宋体" w:hAnsi="宋体" w:eastAsia="宋体" w:cs="宋体"/>
                <w:color w:val="auto"/>
                <w:sz w:val="22"/>
                <w:szCs w:val="22"/>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5A2B">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老厂乡</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5E56">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以老厂乡行政区划为界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6B8F">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56</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C511">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45</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01697C5D">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11</w:t>
            </w:r>
          </w:p>
        </w:tc>
        <w:tc>
          <w:tcPr>
            <w:tcW w:w="2985" w:type="dxa"/>
            <w:vMerge w:val="continue"/>
            <w:tcBorders>
              <w:left w:val="single" w:color="auto" w:sz="4" w:space="0"/>
              <w:right w:val="single" w:color="auto" w:sz="4" w:space="0"/>
            </w:tcBorders>
            <w:shd w:val="clear" w:color="auto" w:fill="auto"/>
            <w:vAlign w:val="center"/>
          </w:tcPr>
          <w:p w14:paraId="017D0E03">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63328B27">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FF5723">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E98A8C">
            <w:pPr>
              <w:rPr>
                <w:rFonts w:ascii="宋体" w:hAnsi="宋体" w:eastAsia="宋体" w:cs="宋体"/>
                <w:color w:val="auto"/>
                <w:sz w:val="22"/>
                <w:szCs w:val="22"/>
              </w:rPr>
            </w:pPr>
          </w:p>
        </w:tc>
      </w:tr>
      <w:tr w14:paraId="38475CBC">
        <w:tblPrEx>
          <w:tblCellMar>
            <w:top w:w="0" w:type="dxa"/>
            <w:left w:w="108" w:type="dxa"/>
            <w:bottom w:w="0" w:type="dxa"/>
            <w:right w:w="108" w:type="dxa"/>
          </w:tblCellMar>
        </w:tblPrEx>
        <w:trPr>
          <w:trHeight w:val="716" w:hRule="atLeast"/>
          <w:jc w:val="center"/>
        </w:trPr>
        <w:tc>
          <w:tcPr>
            <w:tcW w:w="516" w:type="dxa"/>
            <w:vMerge w:val="continue"/>
            <w:tcBorders>
              <w:left w:val="single" w:color="000000" w:sz="4" w:space="0"/>
              <w:right w:val="single" w:color="000000" w:sz="4" w:space="0"/>
            </w:tcBorders>
            <w:shd w:val="clear" w:color="auto" w:fill="auto"/>
            <w:vAlign w:val="center"/>
          </w:tcPr>
          <w:p w14:paraId="2C9DAD7C">
            <w:pPr>
              <w:jc w:val="center"/>
              <w:rPr>
                <w:rFonts w:ascii="宋体" w:hAnsi="宋体" w:eastAsia="宋体" w:cs="宋体"/>
                <w:color w:val="auto"/>
                <w:sz w:val="22"/>
                <w:szCs w:val="22"/>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C743">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建兴乡</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2EED">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以建兴乡行政区划为界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527D">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58</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94F9">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44</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172FDB2C">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14</w:t>
            </w:r>
          </w:p>
        </w:tc>
        <w:tc>
          <w:tcPr>
            <w:tcW w:w="2985" w:type="dxa"/>
            <w:vMerge w:val="continue"/>
            <w:tcBorders>
              <w:left w:val="single" w:color="auto" w:sz="4" w:space="0"/>
              <w:right w:val="single" w:color="auto" w:sz="4" w:space="0"/>
            </w:tcBorders>
            <w:shd w:val="clear" w:color="auto" w:fill="auto"/>
            <w:vAlign w:val="center"/>
          </w:tcPr>
          <w:p w14:paraId="62C2F78D">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6A566458">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09DF37">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D3F1A7">
            <w:pPr>
              <w:rPr>
                <w:rFonts w:ascii="宋体" w:hAnsi="宋体" w:eastAsia="宋体" w:cs="宋体"/>
                <w:color w:val="auto"/>
                <w:sz w:val="22"/>
                <w:szCs w:val="22"/>
              </w:rPr>
            </w:pPr>
          </w:p>
        </w:tc>
      </w:tr>
      <w:tr w14:paraId="491DD328">
        <w:tblPrEx>
          <w:tblCellMar>
            <w:top w:w="0" w:type="dxa"/>
            <w:left w:w="108" w:type="dxa"/>
            <w:bottom w:w="0" w:type="dxa"/>
            <w:right w:w="108" w:type="dxa"/>
          </w:tblCellMar>
        </w:tblPrEx>
        <w:trPr>
          <w:trHeight w:val="699" w:hRule="atLeast"/>
          <w:jc w:val="center"/>
        </w:trPr>
        <w:tc>
          <w:tcPr>
            <w:tcW w:w="516" w:type="dxa"/>
            <w:vMerge w:val="continue"/>
            <w:tcBorders>
              <w:left w:val="single" w:color="000000" w:sz="4" w:space="0"/>
              <w:right w:val="single" w:color="000000" w:sz="4" w:space="0"/>
            </w:tcBorders>
            <w:shd w:val="clear" w:color="auto" w:fill="auto"/>
            <w:vAlign w:val="center"/>
          </w:tcPr>
          <w:p w14:paraId="617C5797">
            <w:pPr>
              <w:jc w:val="center"/>
              <w:rPr>
                <w:rFonts w:ascii="宋体" w:hAnsi="宋体" w:eastAsia="宋体" w:cs="宋体"/>
                <w:color w:val="auto"/>
                <w:sz w:val="22"/>
                <w:szCs w:val="22"/>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6FDD">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者竜乡</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2920">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以者竜乡行政区划为界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7ECA">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47</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C9DD">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57</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1B4800F4">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w:t>
            </w:r>
          </w:p>
        </w:tc>
        <w:tc>
          <w:tcPr>
            <w:tcW w:w="2985" w:type="dxa"/>
            <w:vMerge w:val="continue"/>
            <w:tcBorders>
              <w:left w:val="single" w:color="auto" w:sz="4" w:space="0"/>
              <w:right w:val="single" w:color="auto" w:sz="4" w:space="0"/>
            </w:tcBorders>
            <w:shd w:val="clear" w:color="auto" w:fill="auto"/>
            <w:vAlign w:val="center"/>
          </w:tcPr>
          <w:p w14:paraId="7948AF5B">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226232A4">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B0B43F">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52EAD6">
            <w:pPr>
              <w:rPr>
                <w:rFonts w:ascii="宋体" w:hAnsi="宋体" w:eastAsia="宋体" w:cs="宋体"/>
                <w:color w:val="auto"/>
                <w:sz w:val="22"/>
                <w:szCs w:val="22"/>
              </w:rPr>
            </w:pPr>
          </w:p>
        </w:tc>
      </w:tr>
      <w:tr w14:paraId="1DEA5090">
        <w:tblPrEx>
          <w:tblCellMar>
            <w:top w:w="0" w:type="dxa"/>
            <w:left w:w="108" w:type="dxa"/>
            <w:bottom w:w="0" w:type="dxa"/>
            <w:right w:w="108" w:type="dxa"/>
          </w:tblCellMar>
        </w:tblPrEx>
        <w:trPr>
          <w:trHeight w:val="738" w:hRule="atLeast"/>
          <w:jc w:val="center"/>
        </w:trPr>
        <w:tc>
          <w:tcPr>
            <w:tcW w:w="516" w:type="dxa"/>
            <w:vMerge w:val="continue"/>
            <w:tcBorders>
              <w:left w:val="single" w:color="000000" w:sz="4" w:space="0"/>
              <w:right w:val="single" w:color="000000" w:sz="4" w:space="0"/>
            </w:tcBorders>
            <w:shd w:val="clear" w:color="auto" w:fill="auto"/>
            <w:vAlign w:val="center"/>
          </w:tcPr>
          <w:p w14:paraId="1990C899">
            <w:pPr>
              <w:jc w:val="center"/>
              <w:rPr>
                <w:rFonts w:ascii="宋体" w:hAnsi="宋体" w:eastAsia="宋体" w:cs="宋体"/>
                <w:color w:val="auto"/>
                <w:sz w:val="22"/>
                <w:szCs w:val="22"/>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C2D6">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平掌乡</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FEB1">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以平掌乡行政区划为界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520F">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37</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6E3E">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41</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29AEB48A">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w:t>
            </w:r>
          </w:p>
        </w:tc>
        <w:tc>
          <w:tcPr>
            <w:tcW w:w="2985" w:type="dxa"/>
            <w:vMerge w:val="continue"/>
            <w:tcBorders>
              <w:left w:val="single" w:color="auto" w:sz="4" w:space="0"/>
              <w:right w:val="single" w:color="auto" w:sz="4" w:space="0"/>
            </w:tcBorders>
            <w:shd w:val="clear" w:color="auto" w:fill="auto"/>
            <w:vAlign w:val="center"/>
          </w:tcPr>
          <w:p w14:paraId="4BD7F063">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7A1DCFF2">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20EBDF">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55E902">
            <w:pPr>
              <w:rPr>
                <w:rFonts w:ascii="宋体" w:hAnsi="宋体" w:eastAsia="宋体" w:cs="宋体"/>
                <w:color w:val="auto"/>
                <w:sz w:val="22"/>
                <w:szCs w:val="22"/>
              </w:rPr>
            </w:pPr>
          </w:p>
        </w:tc>
      </w:tr>
      <w:tr w14:paraId="2B296330">
        <w:tblPrEx>
          <w:tblCellMar>
            <w:top w:w="0" w:type="dxa"/>
            <w:left w:w="108" w:type="dxa"/>
            <w:bottom w:w="0" w:type="dxa"/>
            <w:right w:w="108" w:type="dxa"/>
          </w:tblCellMar>
        </w:tblPrEx>
        <w:trPr>
          <w:trHeight w:val="673" w:hRule="atLeast"/>
          <w:jc w:val="center"/>
        </w:trPr>
        <w:tc>
          <w:tcPr>
            <w:tcW w:w="516" w:type="dxa"/>
            <w:vMerge w:val="continue"/>
            <w:tcBorders>
              <w:left w:val="single" w:color="000000" w:sz="4" w:space="0"/>
              <w:bottom w:val="single" w:color="000000" w:sz="4" w:space="0"/>
              <w:right w:val="single" w:color="000000" w:sz="4" w:space="0"/>
            </w:tcBorders>
            <w:shd w:val="clear" w:color="auto" w:fill="auto"/>
            <w:vAlign w:val="center"/>
          </w:tcPr>
          <w:p w14:paraId="1B6247E7">
            <w:pPr>
              <w:jc w:val="center"/>
              <w:rPr>
                <w:rFonts w:ascii="宋体" w:hAnsi="宋体" w:eastAsia="宋体" w:cs="宋体"/>
                <w:color w:val="auto"/>
                <w:sz w:val="22"/>
                <w:szCs w:val="22"/>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2B61">
            <w:pPr>
              <w:jc w:val="center"/>
              <w:rPr>
                <w:rFonts w:hint="eastAsia" w:ascii="宋体" w:hAnsi="宋体" w:eastAsia="宋体" w:cs="宋体"/>
                <w:color w:val="auto"/>
                <w:sz w:val="18"/>
                <w:szCs w:val="18"/>
                <w:lang w:val="en-US" w:eastAsia="zh-Hans"/>
              </w:rPr>
            </w:pPr>
            <w:r>
              <w:rPr>
                <w:rFonts w:hint="eastAsia" w:ascii="宋体" w:hAnsi="宋体" w:eastAsia="宋体" w:cs="宋体"/>
                <w:color w:val="auto"/>
                <w:sz w:val="18"/>
                <w:szCs w:val="18"/>
                <w:lang w:val="en-US" w:eastAsia="zh-Hans"/>
              </w:rPr>
              <w:t>平甸乡</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9412">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Hans"/>
              </w:rPr>
              <w:t>以平甸乡行政区划为界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9785">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18</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6713">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23</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0B20CEC6">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w:t>
            </w:r>
          </w:p>
        </w:tc>
        <w:tc>
          <w:tcPr>
            <w:tcW w:w="2985" w:type="dxa"/>
            <w:vMerge w:val="continue"/>
            <w:tcBorders>
              <w:left w:val="single" w:color="auto" w:sz="4" w:space="0"/>
              <w:bottom w:val="single" w:color="auto" w:sz="4" w:space="0"/>
              <w:right w:val="single" w:color="auto" w:sz="4" w:space="0"/>
            </w:tcBorders>
            <w:shd w:val="clear" w:color="auto" w:fill="auto"/>
            <w:vAlign w:val="center"/>
          </w:tcPr>
          <w:p w14:paraId="10357B4C">
            <w:pPr>
              <w:jc w:val="center"/>
              <w:rPr>
                <w:rFonts w:ascii="宋体" w:hAnsi="宋体" w:eastAsia="宋体" w:cs="宋体"/>
                <w:color w:val="auto"/>
                <w:sz w:val="22"/>
                <w:szCs w:val="22"/>
              </w:rPr>
            </w:pPr>
          </w:p>
        </w:tc>
        <w:tc>
          <w:tcPr>
            <w:tcW w:w="438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2566D3AA">
            <w:pPr>
              <w:rPr>
                <w:rFonts w:ascii="宋体" w:hAnsi="宋体" w:eastAsia="宋体" w:cs="宋体"/>
                <w:color w:val="auto"/>
                <w:sz w:val="22"/>
                <w:szCs w:val="22"/>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812654">
            <w:pPr>
              <w:jc w:val="center"/>
              <w:rPr>
                <w:rFonts w:ascii="宋体" w:hAnsi="宋体" w:eastAsia="宋体" w:cs="宋体"/>
                <w:color w:val="auto"/>
                <w:sz w:val="22"/>
                <w:szCs w:val="22"/>
              </w:rPr>
            </w:pPr>
          </w:p>
        </w:tc>
        <w:tc>
          <w:tcPr>
            <w:tcW w:w="7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520250">
            <w:pPr>
              <w:rPr>
                <w:rFonts w:ascii="宋体" w:hAnsi="宋体" w:eastAsia="宋体" w:cs="宋体"/>
                <w:color w:val="auto"/>
                <w:sz w:val="22"/>
                <w:szCs w:val="22"/>
              </w:rPr>
            </w:pPr>
          </w:p>
        </w:tc>
      </w:tr>
    </w:tbl>
    <w:p w14:paraId="1813609A">
      <w:pPr>
        <w:spacing w:before="42" w:line="219" w:lineRule="auto"/>
        <w:ind w:right="-101" w:rightChars="-48"/>
        <w:rPr>
          <w:rFonts w:hint="eastAsia" w:ascii="宋体" w:hAnsi="宋体" w:eastAsia="宋体" w:cs="宋体"/>
          <w:spacing w:val="-1"/>
          <w:lang w:eastAsia="zh-CN"/>
        </w:rPr>
      </w:pPr>
    </w:p>
    <w:p w14:paraId="1FBE3B67">
      <w:pPr>
        <w:spacing w:before="42" w:line="219" w:lineRule="auto"/>
        <w:ind w:right="-101" w:rightChars="-48"/>
        <w:rPr>
          <w:rFonts w:ascii="宋体" w:hAnsi="宋体" w:eastAsia="宋体" w:cs="宋体"/>
          <w:spacing w:val="-1"/>
          <w:lang w:eastAsia="zh-CN"/>
        </w:rPr>
      </w:pPr>
      <w:r>
        <w:rPr>
          <w:rFonts w:hint="eastAsia" w:ascii="宋体" w:hAnsi="宋体" w:eastAsia="宋体" w:cs="宋体"/>
          <w:spacing w:val="-1"/>
          <w:lang w:eastAsia="zh-CN"/>
        </w:rPr>
        <w:t>备注：1.本公示表的数据根据本县零售点布局规划实行定期评价、动态管理。</w:t>
      </w:r>
    </w:p>
    <w:p w14:paraId="25E811B6">
      <w:pPr>
        <w:spacing w:before="42" w:line="219" w:lineRule="auto"/>
        <w:ind w:firstLine="624" w:firstLineChars="300"/>
        <w:rPr>
          <w:rFonts w:ascii="宋体" w:hAnsi="宋体" w:eastAsia="宋体" w:cs="宋体"/>
          <w:spacing w:val="-1"/>
          <w:lang w:eastAsia="zh-CN"/>
        </w:rPr>
      </w:pPr>
      <w:r>
        <w:rPr>
          <w:rFonts w:hint="eastAsia" w:ascii="宋体" w:hAnsi="宋体" w:eastAsia="宋体" w:cs="宋体"/>
          <w:spacing w:val="-1"/>
          <w:lang w:eastAsia="zh-CN"/>
        </w:rPr>
        <w:t>2.每季度根据经济发展、城乡建设、市场形势等变化情况对本表中的数据进行动态调整，规划数相应进行动态更新，以每季度最后一次公示的数据为准。</w:t>
      </w:r>
    </w:p>
    <w:p w14:paraId="05B51550">
      <w:pPr>
        <w:spacing w:before="42" w:line="219" w:lineRule="auto"/>
        <w:ind w:firstLine="624" w:firstLineChars="300"/>
        <w:rPr>
          <w:rFonts w:ascii="方正小标宋简体" w:hAnsi="Times New Roman" w:eastAsia="方正小标宋简体" w:cs="Times New Roman"/>
          <w:snapToGrid/>
          <w:color w:val="auto"/>
          <w:kern w:val="2"/>
          <w:sz w:val="32"/>
          <w:szCs w:val="32"/>
          <w:lang w:eastAsia="zh-CN"/>
        </w:rPr>
      </w:pPr>
      <w:r>
        <w:rPr>
          <w:rFonts w:hint="eastAsia" w:ascii="宋体" w:hAnsi="宋体" w:eastAsia="宋体" w:cs="宋体"/>
          <w:spacing w:val="-1"/>
          <w:lang w:eastAsia="zh-CN"/>
        </w:rPr>
        <w:t>3.本数据由云南省</w:t>
      </w:r>
      <w:r>
        <w:rPr>
          <w:rFonts w:hint="eastAsia" w:ascii="宋体" w:hAnsi="宋体" w:eastAsia="宋体" w:cs="宋体"/>
          <w:spacing w:val="-1"/>
          <w:lang w:val="en-US" w:eastAsia="zh-Hans"/>
        </w:rPr>
        <w:t>新平彝族傣族自治</w:t>
      </w:r>
      <w:r>
        <w:rPr>
          <w:rFonts w:hint="eastAsia" w:ascii="宋体" w:hAnsi="宋体" w:eastAsia="宋体" w:cs="宋体"/>
          <w:spacing w:val="-1"/>
          <w:lang w:eastAsia="zh-CN"/>
        </w:rPr>
        <w:t>县烟草专卖局负责解释，咨询电话：</w:t>
      </w:r>
      <w:r>
        <w:rPr>
          <w:rFonts w:hint="default" w:ascii="宋体" w:hAnsi="宋体" w:eastAsia="宋体" w:cs="宋体"/>
          <w:spacing w:val="-1"/>
          <w:lang w:eastAsia="zh-CN"/>
        </w:rPr>
        <w:t>0877-7016260</w:t>
      </w:r>
      <w:r>
        <w:rPr>
          <w:rFonts w:hint="eastAsia" w:ascii="宋体" w:hAnsi="宋体" w:eastAsia="宋体" w:cs="宋体"/>
          <w:spacing w:val="-1"/>
          <w:lang w:eastAsia="zh-CN"/>
        </w:rPr>
        <w:t>。</w:t>
      </w:r>
    </w:p>
    <w:p w14:paraId="7284EECC">
      <w:pPr>
        <w:keepNext w:val="0"/>
        <w:keepLines w:val="0"/>
        <w:pageBreakBefore w:val="0"/>
        <w:widowControl w:val="0"/>
        <w:kinsoku/>
        <w:wordWrap/>
        <w:overflowPunct/>
        <w:topLinePunct w:val="0"/>
        <w:autoSpaceDE/>
        <w:autoSpaceDN/>
        <w:bidi w:val="0"/>
        <w:adjustRightInd w:val="0"/>
        <w:snapToGrid/>
        <w:spacing w:line="336" w:lineRule="auto"/>
        <w:jc w:val="both"/>
        <w:textAlignment w:val="auto"/>
        <w:rPr>
          <w:rFonts w:hint="eastAsia" w:ascii="仿宋_GB2312" w:hAnsi="Times New Roman" w:eastAsia="仿宋_GB2312" w:cs="Times New Roman"/>
          <w:snapToGrid/>
          <w:kern w:val="2"/>
          <w:sz w:val="32"/>
          <w:szCs w:val="32"/>
          <w:lang w:eastAsia="zh-CN"/>
        </w:rPr>
      </w:pPr>
    </w:p>
    <w:p w14:paraId="292CDF09">
      <w:pPr>
        <w:keepNext w:val="0"/>
        <w:keepLines w:val="0"/>
        <w:pageBreakBefore w:val="0"/>
        <w:widowControl w:val="0"/>
        <w:kinsoku/>
        <w:wordWrap/>
        <w:overflowPunct/>
        <w:topLinePunct w:val="0"/>
        <w:autoSpaceDE/>
        <w:autoSpaceDN/>
        <w:bidi w:val="0"/>
        <w:adjustRightInd w:val="0"/>
        <w:snapToGrid/>
        <w:spacing w:line="336" w:lineRule="auto"/>
        <w:jc w:val="both"/>
        <w:textAlignment w:val="auto"/>
        <w:rPr>
          <w:rFonts w:hint="eastAsia" w:ascii="仿宋_GB2312" w:hAnsi="Times New Roman" w:eastAsia="仿宋_GB2312" w:cs="Times New Roman"/>
          <w:snapToGrid/>
          <w:kern w:val="2"/>
          <w:sz w:val="32"/>
          <w:szCs w:val="32"/>
          <w:lang w:eastAsia="zh-CN"/>
        </w:rPr>
        <w:sectPr>
          <w:footerReference r:id="rId9" w:type="first"/>
          <w:footerReference r:id="rId7" w:type="default"/>
          <w:footerReference r:id="rId8" w:type="even"/>
          <w:pgSz w:w="16848" w:h="11916" w:orient="landscape"/>
          <w:pgMar w:top="1530" w:right="2098" w:bottom="1531" w:left="1984" w:header="850" w:footer="1531" w:gutter="0"/>
          <w:pgNumType w:fmt="numberInDash" w:start="1"/>
          <w:cols w:space="0" w:num="1"/>
          <w:titlePg/>
          <w:rtlGutter w:val="0"/>
          <w:docGrid w:linePitch="0" w:charSpace="0"/>
        </w:sectPr>
      </w:pPr>
    </w:p>
    <w:p w14:paraId="4764FCA0">
      <w:pPr>
        <w:keepNext w:val="0"/>
        <w:keepLines w:val="0"/>
        <w:pageBreakBefore w:val="0"/>
        <w:widowControl w:val="0"/>
        <w:kinsoku/>
        <w:wordWrap/>
        <w:overflowPunct/>
        <w:topLinePunct w:val="0"/>
        <w:autoSpaceDE/>
        <w:autoSpaceDN/>
        <w:bidi w:val="0"/>
        <w:adjustRightInd w:val="0"/>
        <w:snapToGrid/>
        <w:spacing w:line="336" w:lineRule="auto"/>
        <w:jc w:val="both"/>
        <w:textAlignment w:val="auto"/>
        <w:rPr>
          <w:rFonts w:hint="eastAsia" w:ascii="仿宋_GB2312" w:hAnsi="Times New Roman" w:eastAsia="仿宋_GB2312" w:cs="Times New Roman"/>
          <w:snapToGrid/>
          <w:kern w:val="2"/>
          <w:sz w:val="32"/>
          <w:szCs w:val="32"/>
          <w:lang w:eastAsia="zh-CN"/>
        </w:rPr>
      </w:pPr>
    </w:p>
    <w:p w14:paraId="63E5F1D1">
      <w:pPr>
        <w:ind w:firstLine="672"/>
        <w:rPr>
          <w:rFonts w:ascii="黑体" w:hAnsi="黑体" w:eastAsia="黑体" w:cs="黑体"/>
          <w:spacing w:val="8"/>
          <w:sz w:val="32"/>
          <w:szCs w:val="32"/>
        </w:rPr>
      </w:pPr>
      <w:r>
        <w:rPr>
          <w:rFonts w:hint="eastAsia" w:ascii="黑体" w:hAnsi="黑体" w:eastAsia="黑体" w:cs="黑体"/>
          <w:spacing w:val="8"/>
          <w:sz w:val="32"/>
          <w:szCs w:val="32"/>
        </w:rPr>
        <w:t>附件</w:t>
      </w:r>
      <w:r>
        <w:rPr>
          <w:rFonts w:ascii="黑体" w:hAnsi="黑体" w:eastAsia="黑体" w:cs="黑体"/>
          <w:spacing w:val="8"/>
          <w:sz w:val="32"/>
          <w:szCs w:val="32"/>
        </w:rPr>
        <w:t>3</w:t>
      </w:r>
    </w:p>
    <w:p w14:paraId="2DFC3881">
      <w:pPr>
        <w:spacing w:line="24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w:t>
      </w:r>
      <w:r>
        <w:rPr>
          <w:rFonts w:hint="eastAsia" w:ascii="方正小标宋简体" w:hAnsi="方正小标宋简体" w:eastAsia="方正小标宋简体" w:cs="方正小标宋简体"/>
          <w:sz w:val="44"/>
          <w:szCs w:val="44"/>
          <w:lang w:val="en-US" w:eastAsia="zh-Hans"/>
        </w:rPr>
        <w:t>新平彝族傣族自治</w:t>
      </w:r>
      <w:r>
        <w:rPr>
          <w:rFonts w:hint="eastAsia" w:ascii="方正小标宋简体" w:hAnsi="方正小标宋简体" w:eastAsia="方正小标宋简体" w:cs="方正小标宋简体"/>
          <w:sz w:val="44"/>
          <w:szCs w:val="44"/>
        </w:rPr>
        <w:t>县烟草制品零售点</w:t>
      </w:r>
    </w:p>
    <w:p w14:paraId="63EB520E">
      <w:pPr>
        <w:spacing w:line="24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合理布局网格示意图</w:t>
      </w:r>
    </w:p>
    <w:p w14:paraId="15B44E5C">
      <w:pPr>
        <w:ind w:right="-31" w:rightChars="-15" w:firstLine="0" w:firstLineChars="0"/>
        <w:jc w:val="center"/>
      </w:pPr>
      <w:r>
        <w:drawing>
          <wp:inline distT="0" distB="0" distL="114300" distR="114300">
            <wp:extent cx="5466715" cy="3178810"/>
            <wp:effectExtent l="0" t="0" r="635" b="2540"/>
            <wp:docPr id="4" name="图片 4" descr="/home/yxyc/桌面/原桌面文件/2024年合理化布局文本/2024年合理化布局/网格/MEITU_20241027_152704219.jpgMEITU_20241027_152704219"/>
            <wp:cNvGraphicFramePr/>
            <a:graphic xmlns:a="http://schemas.openxmlformats.org/drawingml/2006/main">
              <a:graphicData uri="http://schemas.openxmlformats.org/drawingml/2006/picture">
                <pic:pic xmlns:pic="http://schemas.openxmlformats.org/drawingml/2006/picture">
                  <pic:nvPicPr>
                    <pic:cNvPr id="4" name="图片 4" descr="/home/yxyc/桌面/原桌面文件/2024年合理化布局文本/2024年合理化布局/网格/MEITU_20241027_152704219.jpgMEITU_20241027_152704219"/>
                    <pic:cNvPicPr/>
                  </pic:nvPicPr>
                  <pic:blipFill>
                    <a:blip r:embed="rId35"/>
                    <a:srcRect/>
                    <a:stretch>
                      <a:fillRect/>
                    </a:stretch>
                  </pic:blipFill>
                  <pic:spPr>
                    <a:xfrm>
                      <a:off x="0" y="0"/>
                      <a:ext cx="5466715" cy="3178810"/>
                    </a:xfrm>
                    <a:prstGeom prst="rect">
                      <a:avLst/>
                    </a:prstGeom>
                    <a:noFill/>
                    <a:ln>
                      <a:noFill/>
                    </a:ln>
                  </pic:spPr>
                </pic:pic>
              </a:graphicData>
            </a:graphic>
          </wp:inline>
        </w:drawing>
      </w:r>
    </w:p>
    <w:p w14:paraId="4A7C266D">
      <w:pPr>
        <w:ind w:right="-31" w:rightChars="-15" w:firstLine="0" w:firstLineChars="0"/>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（图：新平县行政区划）</w:t>
      </w:r>
    </w:p>
    <w:p w14:paraId="7A1D4C07">
      <w:pPr>
        <w:ind w:right="-31" w:rightChars="-15" w:firstLine="0" w:firstLineChars="0"/>
        <w:jc w:val="left"/>
        <w:rPr>
          <w:rFonts w:hint="eastAsia"/>
          <w:sz w:val="21"/>
          <w:szCs w:val="21"/>
          <w:lang w:eastAsia="zh-CN"/>
        </w:rPr>
      </w:pPr>
      <w:r>
        <w:rPr>
          <w:rFonts w:hint="eastAsia"/>
          <w:sz w:val="21"/>
          <w:szCs w:val="21"/>
          <w:lang w:eastAsia="zh-CN"/>
        </w:rPr>
        <w:drawing>
          <wp:inline distT="0" distB="0" distL="114300" distR="114300">
            <wp:extent cx="4145915" cy="3505200"/>
            <wp:effectExtent l="0" t="0" r="6985" b="0"/>
            <wp:docPr id="5" name="图片 5" descr="桂山街道-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桂山街道-1"/>
                    <pic:cNvPicPr>
                      <a:picLocks noChangeAspect="1"/>
                    </pic:cNvPicPr>
                  </pic:nvPicPr>
                  <pic:blipFill>
                    <a:blip r:embed="rId36"/>
                    <a:stretch>
                      <a:fillRect/>
                    </a:stretch>
                  </pic:blipFill>
                  <pic:spPr>
                    <a:xfrm>
                      <a:off x="0" y="0"/>
                      <a:ext cx="4145915" cy="3505200"/>
                    </a:xfrm>
                    <a:prstGeom prst="rect">
                      <a:avLst/>
                    </a:prstGeom>
                  </pic:spPr>
                </pic:pic>
              </a:graphicData>
            </a:graphic>
          </wp:inline>
        </w:drawing>
      </w:r>
      <w:r>
        <w:rPr>
          <w:rFonts w:hint="eastAsia"/>
          <w:sz w:val="21"/>
          <w:szCs w:val="21"/>
          <w:lang w:val="en-US" w:eastAsia="zh-CN"/>
        </w:rPr>
        <w:t xml:space="preserve">   </w:t>
      </w:r>
      <w:r>
        <w:rPr>
          <w:rFonts w:hint="eastAsia"/>
          <w:sz w:val="21"/>
          <w:szCs w:val="21"/>
          <w:lang w:eastAsia="zh-CN"/>
        </w:rPr>
        <w:drawing>
          <wp:inline distT="0" distB="0" distL="114300" distR="114300">
            <wp:extent cx="3749040" cy="3505200"/>
            <wp:effectExtent l="0" t="0" r="3810" b="0"/>
            <wp:docPr id="6" name="图片 6" descr="/home/yxyc/桌面/原桌面文件/2024年合理化布局文本/2024年合理化布局/网格/MEITU_20241027_151402762.jpgMEITU_20241027_15140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ome/yxyc/桌面/原桌面文件/2024年合理化布局文本/2024年合理化布局/网格/MEITU_20241027_151402762.jpgMEITU_20241027_151402762"/>
                    <pic:cNvPicPr>
                      <a:picLocks noChangeAspect="1"/>
                    </pic:cNvPicPr>
                  </pic:nvPicPr>
                  <pic:blipFill>
                    <a:blip r:embed="rId37"/>
                    <a:srcRect/>
                    <a:stretch>
                      <a:fillRect/>
                    </a:stretch>
                  </pic:blipFill>
                  <pic:spPr>
                    <a:xfrm>
                      <a:off x="0" y="0"/>
                      <a:ext cx="3749040" cy="3505200"/>
                    </a:xfrm>
                    <a:prstGeom prst="rect">
                      <a:avLst/>
                    </a:prstGeom>
                  </pic:spPr>
                </pic:pic>
              </a:graphicData>
            </a:graphic>
          </wp:inline>
        </w:drawing>
      </w:r>
      <w:r>
        <w:rPr>
          <w:rFonts w:hint="eastAsia"/>
          <w:sz w:val="21"/>
          <w:szCs w:val="21"/>
          <w:lang w:val="en-US" w:eastAsia="zh-CN"/>
        </w:rPr>
        <w:t xml:space="preserve"> </w:t>
      </w:r>
    </w:p>
    <w:p w14:paraId="1D6D9EB8">
      <w:pPr>
        <w:ind w:right="-31" w:rightChars="-15" w:firstLine="1260" w:firstLineChars="600"/>
        <w:jc w:val="both"/>
        <w:rPr>
          <w:rFonts w:hint="eastAsia"/>
          <w:sz w:val="21"/>
          <w:szCs w:val="21"/>
          <w:lang w:eastAsia="zh-CN"/>
        </w:rPr>
      </w:pPr>
    </w:p>
    <w:p w14:paraId="371A886C">
      <w:pPr>
        <w:ind w:right="-31" w:rightChars="-15" w:firstLine="2319" w:firstLineChars="11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（图：桂山街道</w:t>
      </w:r>
      <w:r>
        <w:rPr>
          <w:rFonts w:hint="eastAsia" w:asciiTheme="minorEastAsia" w:hAnsiTheme="minorEastAsia" w:eastAsiaTheme="minorEastAsia" w:cstheme="minorEastAsia"/>
          <w:b/>
          <w:bCs/>
          <w:sz w:val="21"/>
          <w:szCs w:val="21"/>
          <w:lang w:val="en-US" w:eastAsia="zh-CN"/>
        </w:rPr>
        <w:t>-1</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eastAsia="zh-CN"/>
        </w:rPr>
        <w:t>（图：桂山街道</w:t>
      </w:r>
      <w:r>
        <w:rPr>
          <w:rFonts w:hint="eastAsia" w:asciiTheme="minorEastAsia" w:hAnsiTheme="minorEastAsia" w:eastAsiaTheme="minorEastAsia" w:cstheme="minorEastAsia"/>
          <w:b/>
          <w:bCs/>
          <w:sz w:val="21"/>
          <w:szCs w:val="21"/>
          <w:lang w:val="en-US" w:eastAsia="zh-CN"/>
        </w:rPr>
        <w:t>-2</w:t>
      </w:r>
      <w:r>
        <w:rPr>
          <w:rFonts w:hint="eastAsia" w:asciiTheme="minorEastAsia" w:hAnsiTheme="minorEastAsia" w:eastAsiaTheme="minorEastAsia" w:cstheme="minorEastAsia"/>
          <w:b/>
          <w:bCs/>
          <w:sz w:val="21"/>
          <w:szCs w:val="21"/>
          <w:lang w:eastAsia="zh-CN"/>
        </w:rPr>
        <w:t>）</w:t>
      </w:r>
    </w:p>
    <w:p w14:paraId="09E1F035">
      <w:pPr>
        <w:ind w:right="-31" w:rightChars="-15" w:firstLine="0" w:firstLineChars="0"/>
        <w:jc w:val="left"/>
        <w:rPr>
          <w:rFonts w:hint="eastAsia" w:asciiTheme="minorEastAsia" w:hAnsiTheme="minorEastAsia" w:eastAsiaTheme="minorEastAsia" w:cstheme="minorEastAsia"/>
          <w:b/>
          <w:bCs/>
          <w:sz w:val="21"/>
          <w:szCs w:val="21"/>
          <w:lang w:val="en-US" w:eastAsia="zh-CN"/>
        </w:rPr>
      </w:pPr>
    </w:p>
    <w:p w14:paraId="18FEFC49">
      <w:pPr>
        <w:ind w:right="-31" w:rightChars="-15" w:firstLine="1891" w:firstLineChars="900"/>
        <w:jc w:val="both"/>
        <w:rPr>
          <w:rFonts w:hint="eastAsia"/>
          <w:b/>
          <w:bCs/>
          <w:sz w:val="21"/>
          <w:szCs w:val="21"/>
          <w:lang w:val="en-US" w:eastAsia="zh-CN"/>
        </w:rPr>
      </w:pPr>
    </w:p>
    <w:p w14:paraId="01AE5C71">
      <w:pPr>
        <w:numPr>
          <w:ilvl w:val="0"/>
          <w:numId w:val="0"/>
        </w:numPr>
        <w:adjustRightInd w:val="0"/>
        <w:snapToGrid w:val="0"/>
        <w:spacing w:line="336" w:lineRule="auto"/>
        <w:ind w:firstLine="640" w:firstLineChars="200"/>
        <w:jc w:val="both"/>
        <w:rPr>
          <w:rFonts w:hint="eastAsia" w:ascii="仿宋_GB2312" w:hAnsi="仿宋_GB2312" w:eastAsia="仿宋_GB2312" w:cs="仿宋_GB2312"/>
          <w:sz w:val="32"/>
          <w:szCs w:val="32"/>
          <w:lang w:eastAsia="zh-CN"/>
        </w:rPr>
        <w:sectPr>
          <w:footerReference r:id="rId11" w:type="first"/>
          <w:footerReference r:id="rId10" w:type="default"/>
          <w:pgSz w:w="16848" w:h="11916" w:orient="landscape"/>
          <w:pgMar w:top="1530" w:right="2098" w:bottom="1531" w:left="1984" w:header="850" w:footer="1531" w:gutter="0"/>
          <w:pgNumType w:fmt="numberInDash" w:start="1"/>
          <w:cols w:space="0" w:num="1"/>
          <w:titlePg/>
          <w:rtlGutter w:val="0"/>
          <w:docGrid w:linePitch="0" w:charSpace="0"/>
        </w:sectPr>
      </w:pPr>
      <w:r>
        <w:rPr>
          <w:rFonts w:hint="eastAsia" w:ascii="仿宋_GB2312" w:hAnsi="仿宋_GB2312" w:eastAsia="仿宋_GB2312" w:cs="仿宋_GB2312"/>
          <w:sz w:val="32"/>
          <w:szCs w:val="32"/>
          <w:lang w:val="en-US" w:eastAsia="zh-CN"/>
        </w:rPr>
        <w:t>注意：新平县共划分为13个单元网格，其中古城街道、戛洒镇、扬武镇、新化乡、老厂乡、平甸乡、漠沙镇、水塘镇、建兴乡、者竜乡、平掌乡11个单元网格均以区域行政区划为界。</w:t>
      </w:r>
    </w:p>
    <w:p w14:paraId="65B9EB85">
      <w:pPr>
        <w:spacing w:before="104" w:line="224" w:lineRule="auto"/>
        <w:ind w:left="619"/>
        <w:rPr>
          <w:rFonts w:hint="default" w:ascii="黑体" w:hAnsi="黑体" w:eastAsia="黑体" w:cs="黑体"/>
          <w:spacing w:val="8"/>
          <w:sz w:val="32"/>
          <w:szCs w:val="32"/>
          <w:lang w:val="en-US" w:eastAsia="zh-CN"/>
        </w:rPr>
      </w:pPr>
      <w:r>
        <w:rPr>
          <w:rFonts w:hint="eastAsia" w:ascii="黑体" w:hAnsi="黑体" w:eastAsia="黑体" w:cs="黑体"/>
          <w:spacing w:val="8"/>
          <w:sz w:val="32"/>
          <w:szCs w:val="32"/>
          <w:lang w:eastAsia="zh-CN"/>
        </w:rPr>
        <w:t>附件</w:t>
      </w:r>
      <w:r>
        <w:rPr>
          <w:rFonts w:hint="eastAsia" w:ascii="黑体" w:hAnsi="黑体" w:eastAsia="黑体" w:cs="黑体"/>
          <w:spacing w:val="8"/>
          <w:sz w:val="32"/>
          <w:szCs w:val="32"/>
          <w:lang w:val="en-US" w:eastAsia="zh-CN"/>
        </w:rPr>
        <w:t>4</w:t>
      </w:r>
    </w:p>
    <w:p w14:paraId="0521784E">
      <w:pPr>
        <w:widowControl w:val="0"/>
        <w:kinsoku/>
        <w:autoSpaceDE/>
        <w:autoSpaceDN/>
        <w:adjustRightInd/>
        <w:spacing w:line="317" w:lineRule="auto"/>
        <w:jc w:val="center"/>
        <w:textAlignment w:val="auto"/>
        <w:rPr>
          <w:rFonts w:ascii="方正小标宋简体" w:hAnsi="Times New Roman" w:eastAsia="方正小标宋简体" w:cs="Times New Roman"/>
          <w:snapToGrid/>
          <w:color w:val="FF0000"/>
          <w:kern w:val="2"/>
          <w:sz w:val="44"/>
          <w:szCs w:val="44"/>
          <w:lang w:eastAsia="zh-CN"/>
        </w:rPr>
      </w:pPr>
      <w:r>
        <w:rPr>
          <w:rFonts w:hint="eastAsia" w:ascii="方正小标宋简体" w:hAnsi="Times New Roman" w:eastAsia="方正小标宋简体" w:cs="Times New Roman"/>
          <w:snapToGrid/>
          <w:kern w:val="2"/>
          <w:sz w:val="44"/>
          <w:szCs w:val="44"/>
          <w:lang w:eastAsia="zh-CN"/>
        </w:rPr>
        <w:t>云南省</w:t>
      </w:r>
      <w:r>
        <w:rPr>
          <w:rFonts w:hint="eastAsia" w:ascii="方正小标宋简体" w:hAnsi="Times New Roman" w:eastAsia="方正小标宋简体" w:cs="Times New Roman"/>
          <w:snapToGrid/>
          <w:kern w:val="2"/>
          <w:sz w:val="44"/>
          <w:szCs w:val="44"/>
          <w:lang w:val="en-US" w:eastAsia="zh-Hans"/>
        </w:rPr>
        <w:t>新平彝族傣族自治</w:t>
      </w:r>
      <w:r>
        <w:rPr>
          <w:rFonts w:hint="eastAsia" w:ascii="方正小标宋简体" w:hAnsi="Times New Roman" w:eastAsia="方正小标宋简体" w:cs="Times New Roman"/>
          <w:snapToGrid/>
          <w:kern w:val="2"/>
          <w:sz w:val="44"/>
          <w:szCs w:val="44"/>
          <w:lang w:eastAsia="zh-CN"/>
        </w:rPr>
        <w:t>县雪茄烟专营零售点合理布局公示表</w:t>
      </w:r>
    </w:p>
    <w:p w14:paraId="28E4B8C3">
      <w:pPr>
        <w:kinsoku/>
        <w:autoSpaceDE/>
        <w:autoSpaceDN/>
        <w:adjustRightInd/>
        <w:snapToGrid/>
        <w:textAlignment w:val="auto"/>
        <w:rPr>
          <w:rFonts w:hint="eastAsia" w:eastAsia="宋体"/>
          <w:lang w:eastAsia="zh-CN"/>
        </w:rPr>
      </w:pPr>
    </w:p>
    <w:p w14:paraId="146714E0">
      <w:pPr>
        <w:kinsoku/>
        <w:autoSpaceDE/>
        <w:autoSpaceDN/>
        <w:adjustRightInd/>
        <w:snapToGrid/>
        <w:ind w:firstLine="210" w:firstLineChars="100"/>
        <w:textAlignment w:val="auto"/>
        <w:rPr>
          <w:rFonts w:ascii="方正小标宋简体" w:hAnsi="Times New Roman" w:eastAsia="方正小标宋简体" w:cs="Times New Roman"/>
          <w:snapToGrid/>
          <w:color w:val="FF0000"/>
          <w:kern w:val="2"/>
          <w:sz w:val="32"/>
          <w:szCs w:val="32"/>
          <w:lang w:eastAsia="zh-CN"/>
        </w:rPr>
      </w:pPr>
      <w:r>
        <w:rPr>
          <w:rFonts w:hint="eastAsia" w:eastAsia="宋体"/>
          <w:lang w:eastAsia="zh-CN"/>
        </w:rPr>
        <w:t>单位：</w:t>
      </w:r>
      <w:r>
        <w:rPr>
          <w:rFonts w:hint="eastAsia" w:eastAsia="宋体"/>
          <w:lang w:val="en-US" w:eastAsia="zh-Hans"/>
        </w:rPr>
        <w:t>云南省新平彝族傣族自治县烟</w:t>
      </w:r>
      <w:r>
        <w:rPr>
          <w:rFonts w:hint="eastAsia" w:ascii="宋体" w:hAnsi="宋体" w:eastAsia="宋体" w:cs="宋体"/>
          <w:lang w:eastAsia="zh-CN"/>
        </w:rPr>
        <w:t>草专卖局</w:t>
      </w:r>
      <w:r>
        <w:rPr>
          <w:rFonts w:hint="eastAsia" w:eastAsia="宋体"/>
          <w:lang w:eastAsia="zh-CN"/>
        </w:rPr>
        <w:t xml:space="preserve">（盖章）                             </w:t>
      </w:r>
      <w:r>
        <w:rPr>
          <w:rFonts w:hint="eastAsia" w:eastAsia="宋体"/>
          <w:color w:val="FF0000"/>
          <w:lang w:eastAsia="zh-CN"/>
        </w:rPr>
        <w:t xml:space="preserve">  公示时间：</w:t>
      </w:r>
      <w:r>
        <w:rPr>
          <w:rFonts w:hint="eastAsia"/>
          <w:color w:val="FF0000"/>
          <w:lang w:val="en-US" w:eastAsia="zh-CN"/>
        </w:rPr>
        <w:t>2026</w:t>
      </w:r>
      <w:r>
        <w:rPr>
          <w:color w:val="FF0000"/>
          <w:lang w:eastAsia="zh-CN"/>
        </w:rPr>
        <w:t>年</w:t>
      </w:r>
      <w:r>
        <w:rPr>
          <w:rFonts w:hint="eastAsia"/>
          <w:color w:val="FF0000"/>
          <w:lang w:val="en-US" w:eastAsia="zh-CN"/>
        </w:rPr>
        <w:t>XX</w:t>
      </w:r>
      <w:r>
        <w:rPr>
          <w:color w:val="FF0000"/>
          <w:lang w:eastAsia="zh-CN"/>
        </w:rPr>
        <w:t>月</w:t>
      </w:r>
      <w:r>
        <w:rPr>
          <w:rFonts w:hint="eastAsia"/>
          <w:color w:val="FF0000"/>
          <w:lang w:val="en-US" w:eastAsia="zh-CN"/>
        </w:rPr>
        <w:t>XX</w:t>
      </w:r>
      <w:r>
        <w:rPr>
          <w:color w:val="FF0000"/>
          <w:lang w:eastAsia="zh-CN"/>
        </w:rPr>
        <w:t>日</w:t>
      </w:r>
      <w:r>
        <w:rPr>
          <w:rFonts w:hint="eastAsia"/>
          <w:color w:val="FF0000"/>
          <w:lang w:eastAsia="zh-CN"/>
        </w:rPr>
        <w:t>-</w:t>
      </w:r>
      <w:r>
        <w:rPr>
          <w:rFonts w:hint="eastAsia"/>
          <w:color w:val="FF0000"/>
          <w:lang w:val="en-US" w:eastAsia="zh-CN"/>
        </w:rPr>
        <w:t>2026</w:t>
      </w:r>
      <w:r>
        <w:rPr>
          <w:color w:val="FF0000"/>
          <w:lang w:eastAsia="zh-CN"/>
        </w:rPr>
        <w:t>年</w:t>
      </w:r>
      <w:r>
        <w:rPr>
          <w:rFonts w:hint="eastAsia"/>
          <w:color w:val="FF0000"/>
          <w:lang w:val="en-US" w:eastAsia="zh-CN"/>
        </w:rPr>
        <w:t>XX</w:t>
      </w:r>
      <w:r>
        <w:rPr>
          <w:color w:val="FF0000"/>
          <w:lang w:eastAsia="zh-CN"/>
        </w:rPr>
        <w:t>月</w:t>
      </w:r>
      <w:r>
        <w:rPr>
          <w:rFonts w:hint="eastAsia"/>
          <w:color w:val="FF0000"/>
          <w:lang w:val="en-US" w:eastAsia="zh-CN"/>
        </w:rPr>
        <w:t>XX</w:t>
      </w:r>
      <w:r>
        <w:rPr>
          <w:color w:val="FF0000"/>
          <w:lang w:eastAsia="zh-CN"/>
        </w:rPr>
        <w:t>日</w:t>
      </w:r>
    </w:p>
    <w:tbl>
      <w:tblPr>
        <w:tblStyle w:val="9"/>
        <w:tblpPr w:leftFromText="180" w:rightFromText="180" w:vertAnchor="text" w:horzAnchor="page" w:tblpXSpec="center" w:tblpY="151"/>
        <w:tblOverlap w:val="never"/>
        <w:tblW w:w="11724" w:type="dxa"/>
        <w:jc w:val="center"/>
        <w:tblLayout w:type="fixed"/>
        <w:tblCellMar>
          <w:top w:w="0" w:type="dxa"/>
          <w:left w:w="108" w:type="dxa"/>
          <w:bottom w:w="0" w:type="dxa"/>
          <w:right w:w="108" w:type="dxa"/>
        </w:tblCellMar>
      </w:tblPr>
      <w:tblGrid>
        <w:gridCol w:w="3245"/>
        <w:gridCol w:w="2295"/>
        <w:gridCol w:w="2175"/>
        <w:gridCol w:w="2190"/>
        <w:gridCol w:w="1819"/>
      </w:tblGrid>
      <w:tr w14:paraId="748B2A42">
        <w:tblPrEx>
          <w:tblCellMar>
            <w:top w:w="0" w:type="dxa"/>
            <w:left w:w="108" w:type="dxa"/>
            <w:bottom w:w="0" w:type="dxa"/>
            <w:right w:w="108" w:type="dxa"/>
          </w:tblCellMar>
        </w:tblPrEx>
        <w:trPr>
          <w:trHeight w:val="920" w:hRule="atLeast"/>
          <w:jc w:val="center"/>
        </w:trPr>
        <w:tc>
          <w:tcPr>
            <w:tcW w:w="3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BCA378">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行政区域</w:t>
            </w:r>
          </w:p>
        </w:tc>
        <w:tc>
          <w:tcPr>
            <w:tcW w:w="6660" w:type="dxa"/>
            <w:gridSpan w:val="3"/>
            <w:tcBorders>
              <w:top w:val="single" w:color="000000" w:sz="4" w:space="0"/>
              <w:left w:val="single" w:color="auto" w:sz="4" w:space="0"/>
              <w:bottom w:val="single" w:color="000000" w:sz="4" w:space="0"/>
              <w:right w:val="single" w:color="000000" w:sz="4" w:space="0"/>
            </w:tcBorders>
            <w:shd w:val="clear" w:color="auto" w:fill="auto"/>
            <w:noWrap/>
            <w:vAlign w:val="center"/>
          </w:tcPr>
          <w:p w14:paraId="465A0284">
            <w:pPr>
              <w:jc w:val="center"/>
              <w:textAlignment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雪茄烟专营零售点规划数量情况</w:t>
            </w:r>
          </w:p>
        </w:tc>
        <w:tc>
          <w:tcPr>
            <w:tcW w:w="1819" w:type="dxa"/>
            <w:vMerge w:val="restart"/>
            <w:tcBorders>
              <w:top w:val="single" w:color="000000" w:sz="4" w:space="0"/>
              <w:left w:val="single" w:color="000000" w:sz="4" w:space="0"/>
              <w:right w:val="single" w:color="000000" w:sz="4" w:space="0"/>
            </w:tcBorders>
            <w:shd w:val="clear" w:color="auto" w:fill="auto"/>
            <w:noWrap/>
            <w:vAlign w:val="center"/>
          </w:tcPr>
          <w:p w14:paraId="1882A408">
            <w:pPr>
              <w:jc w:val="center"/>
              <w:textAlignment w:val="center"/>
              <w:rPr>
                <w:rFonts w:ascii="宋体" w:hAnsi="宋体" w:eastAsia="宋体" w:cs="宋体"/>
                <w:color w:val="auto"/>
                <w:sz w:val="22"/>
                <w:szCs w:val="22"/>
              </w:rPr>
            </w:pPr>
            <w:r>
              <w:rPr>
                <w:rFonts w:hint="eastAsia" w:ascii="宋体" w:hAnsi="宋体" w:eastAsia="宋体" w:cs="宋体"/>
                <w:b/>
                <w:bCs/>
                <w:color w:val="auto"/>
                <w:sz w:val="24"/>
                <w:szCs w:val="24"/>
                <w:lang w:eastAsia="zh-CN" w:bidi="ar"/>
              </w:rPr>
              <w:t>备注</w:t>
            </w:r>
          </w:p>
        </w:tc>
      </w:tr>
      <w:tr w14:paraId="0F68D3E2">
        <w:tblPrEx>
          <w:tblCellMar>
            <w:top w:w="0" w:type="dxa"/>
            <w:left w:w="108" w:type="dxa"/>
            <w:bottom w:w="0" w:type="dxa"/>
            <w:right w:w="108" w:type="dxa"/>
          </w:tblCellMar>
        </w:tblPrEx>
        <w:trPr>
          <w:trHeight w:val="835" w:hRule="atLeast"/>
          <w:jc w:val="center"/>
        </w:trPr>
        <w:tc>
          <w:tcPr>
            <w:tcW w:w="3245"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5684364F">
            <w:pPr>
              <w:jc w:val="center"/>
              <w:textAlignment w:val="center"/>
              <w:rPr>
                <w:rFonts w:ascii="宋体" w:hAnsi="宋体" w:eastAsia="宋体" w:cs="宋体"/>
                <w:color w:val="auto"/>
                <w:sz w:val="22"/>
                <w:szCs w:val="22"/>
              </w:rPr>
            </w:pPr>
          </w:p>
        </w:tc>
        <w:tc>
          <w:tcPr>
            <w:tcW w:w="2295" w:type="dxa"/>
            <w:tcBorders>
              <w:top w:val="single" w:color="000000" w:sz="4" w:space="0"/>
              <w:left w:val="single" w:color="auto" w:sz="4" w:space="0"/>
              <w:bottom w:val="single" w:color="auto" w:sz="4" w:space="0"/>
              <w:right w:val="single" w:color="000000" w:sz="4" w:space="0"/>
            </w:tcBorders>
            <w:shd w:val="clear" w:color="auto" w:fill="auto"/>
            <w:vAlign w:val="center"/>
          </w:tcPr>
          <w:p w14:paraId="5AAC1FE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规划数（个）</w:t>
            </w:r>
          </w:p>
        </w:tc>
        <w:tc>
          <w:tcPr>
            <w:tcW w:w="2175" w:type="dxa"/>
            <w:tcBorders>
              <w:top w:val="single" w:color="000000" w:sz="4" w:space="0"/>
              <w:left w:val="single" w:color="000000" w:sz="4" w:space="0"/>
              <w:bottom w:val="single" w:color="auto" w:sz="4" w:space="0"/>
              <w:right w:val="single" w:color="000000" w:sz="4" w:space="0"/>
            </w:tcBorders>
            <w:shd w:val="clear" w:color="auto" w:fill="auto"/>
            <w:vAlign w:val="center"/>
          </w:tcPr>
          <w:p w14:paraId="0B4A1B9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当前实际数（个）</w:t>
            </w:r>
          </w:p>
        </w:tc>
        <w:tc>
          <w:tcPr>
            <w:tcW w:w="2190" w:type="dxa"/>
            <w:tcBorders>
              <w:top w:val="single" w:color="000000" w:sz="4" w:space="0"/>
              <w:left w:val="single" w:color="000000" w:sz="4" w:space="0"/>
              <w:bottom w:val="single" w:color="auto" w:sz="4" w:space="0"/>
              <w:right w:val="single" w:color="000000" w:sz="4" w:space="0"/>
            </w:tcBorders>
            <w:shd w:val="clear" w:color="auto" w:fill="auto"/>
            <w:vAlign w:val="center"/>
          </w:tcPr>
          <w:p w14:paraId="721C928B">
            <w:pPr>
              <w:jc w:val="center"/>
              <w:textAlignment w:val="center"/>
              <w:rPr>
                <w:rFonts w:hint="eastAsia" w:ascii="宋体" w:hAnsi="宋体" w:eastAsia="宋体" w:cs="宋体"/>
                <w:color w:val="auto"/>
                <w:sz w:val="22"/>
                <w:szCs w:val="22"/>
                <w:lang w:val="en-US" w:eastAsia="zh-CN" w:bidi="ar"/>
              </w:rPr>
            </w:pPr>
            <w:r>
              <w:rPr>
                <w:rFonts w:hint="eastAsia" w:ascii="宋体" w:hAnsi="宋体" w:eastAsia="宋体" w:cs="宋体"/>
                <w:color w:val="auto"/>
                <w:sz w:val="22"/>
                <w:szCs w:val="22"/>
                <w:lang w:val="en-US" w:eastAsia="zh-CN" w:bidi="ar"/>
              </w:rPr>
              <w:t>余量（个）</w:t>
            </w:r>
          </w:p>
        </w:tc>
        <w:tc>
          <w:tcPr>
            <w:tcW w:w="1819" w:type="dxa"/>
            <w:vMerge w:val="continue"/>
            <w:tcBorders>
              <w:left w:val="single" w:color="000000" w:sz="4" w:space="0"/>
              <w:bottom w:val="single" w:color="auto" w:sz="4" w:space="0"/>
              <w:right w:val="single" w:color="000000" w:sz="4" w:space="0"/>
            </w:tcBorders>
            <w:shd w:val="clear" w:color="auto" w:fill="auto"/>
            <w:vAlign w:val="center"/>
          </w:tcPr>
          <w:p w14:paraId="5F6FCB2D">
            <w:pPr>
              <w:jc w:val="both"/>
              <w:textAlignment w:val="center"/>
              <w:rPr>
                <w:rFonts w:ascii="宋体" w:hAnsi="宋体" w:eastAsia="宋体" w:cs="宋体"/>
                <w:color w:val="auto"/>
                <w:sz w:val="22"/>
                <w:szCs w:val="22"/>
              </w:rPr>
            </w:pPr>
          </w:p>
        </w:tc>
      </w:tr>
      <w:tr w14:paraId="26338E2F">
        <w:tblPrEx>
          <w:tblCellMar>
            <w:top w:w="0" w:type="dxa"/>
            <w:left w:w="108" w:type="dxa"/>
            <w:bottom w:w="0" w:type="dxa"/>
            <w:right w:w="108" w:type="dxa"/>
          </w:tblCellMar>
        </w:tblPrEx>
        <w:trPr>
          <w:trHeight w:val="1873" w:hRule="atLeast"/>
          <w:jc w:val="center"/>
        </w:trPr>
        <w:tc>
          <w:tcPr>
            <w:tcW w:w="3245" w:type="dxa"/>
            <w:tcBorders>
              <w:top w:val="single" w:color="auto" w:sz="4" w:space="0"/>
              <w:left w:val="single" w:color="000000" w:sz="4" w:space="0"/>
              <w:bottom w:val="single" w:color="000000" w:sz="4" w:space="0"/>
              <w:right w:val="single" w:color="000000" w:sz="4" w:space="0"/>
            </w:tcBorders>
            <w:shd w:val="clear" w:color="auto" w:fill="auto"/>
            <w:vAlign w:val="center"/>
          </w:tcPr>
          <w:p w14:paraId="5F373813">
            <w:pPr>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新平彝族傣族自治县</w:t>
            </w:r>
          </w:p>
        </w:tc>
        <w:tc>
          <w:tcPr>
            <w:tcW w:w="2295" w:type="dxa"/>
            <w:tcBorders>
              <w:top w:val="single" w:color="auto" w:sz="4" w:space="0"/>
              <w:left w:val="single" w:color="auto" w:sz="4" w:space="0"/>
              <w:bottom w:val="single" w:color="auto" w:sz="4" w:space="0"/>
              <w:right w:val="single" w:color="000000" w:sz="4" w:space="0"/>
            </w:tcBorders>
            <w:shd w:val="clear" w:color="auto" w:fill="auto"/>
            <w:vAlign w:val="center"/>
          </w:tcPr>
          <w:p w14:paraId="43F99CA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12" w:lineRule="auto"/>
              <w:jc w:val="center"/>
              <w:textAlignment w:val="baseline"/>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30</w:t>
            </w:r>
          </w:p>
        </w:tc>
        <w:tc>
          <w:tcPr>
            <w:tcW w:w="2175" w:type="dxa"/>
            <w:tcBorders>
              <w:top w:val="single" w:color="auto" w:sz="4" w:space="0"/>
              <w:left w:val="single" w:color="000000" w:sz="4" w:space="0"/>
              <w:bottom w:val="single" w:color="auto" w:sz="4" w:space="0"/>
              <w:right w:val="single" w:color="auto" w:sz="4" w:space="0"/>
            </w:tcBorders>
            <w:shd w:val="clear" w:color="auto" w:fill="auto"/>
            <w:vAlign w:val="center"/>
          </w:tcPr>
          <w:p w14:paraId="737AE73E">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36" w:lineRule="auto"/>
              <w:jc w:val="center"/>
              <w:textAlignment w:val="baseline"/>
              <w:rPr>
                <w:rFonts w:hint="default" w:eastAsia="宋体"/>
                <w:lang w:val="en-US" w:eastAsia="zh-CN"/>
              </w:rPr>
            </w:pPr>
            <w:r>
              <w:rPr>
                <w:rFonts w:hint="eastAsia" w:eastAsia="宋体"/>
                <w:lang w:val="en-US" w:eastAsia="zh-CN"/>
              </w:rPr>
              <w:t>4</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14:paraId="59D8CD20">
            <w:pPr>
              <w:jc w:val="center"/>
              <w:textAlignment w:val="center"/>
              <w:rPr>
                <w:rFonts w:hint="default" w:ascii="宋体" w:hAnsi="宋体" w:eastAsia="宋体" w:cs="宋体"/>
                <w:snapToGrid w:val="0"/>
                <w:color w:val="000000"/>
                <w:kern w:val="0"/>
                <w:sz w:val="22"/>
                <w:szCs w:val="22"/>
                <w:lang w:val="en-US" w:eastAsia="zh-CN" w:bidi="ar-SA"/>
              </w:rPr>
            </w:pPr>
            <w:r>
              <w:rPr>
                <w:rFonts w:hint="eastAsia" w:ascii="宋体" w:hAnsi="宋体" w:eastAsia="宋体" w:cs="宋体"/>
                <w:snapToGrid w:val="0"/>
                <w:color w:val="000000"/>
                <w:kern w:val="0"/>
                <w:sz w:val="22"/>
                <w:szCs w:val="22"/>
                <w:lang w:val="en-US" w:eastAsia="zh-CN" w:bidi="ar-SA"/>
              </w:rPr>
              <w:t>26</w:t>
            </w:r>
          </w:p>
        </w:tc>
        <w:tc>
          <w:tcPr>
            <w:tcW w:w="1819" w:type="dxa"/>
            <w:tcBorders>
              <w:top w:val="single" w:color="auto" w:sz="4" w:space="0"/>
              <w:left w:val="single" w:color="auto" w:sz="4" w:space="0"/>
              <w:bottom w:val="single" w:color="auto" w:sz="4" w:space="0"/>
              <w:right w:val="single" w:color="auto" w:sz="4" w:space="0"/>
            </w:tcBorders>
            <w:shd w:val="clear" w:color="auto" w:fill="auto"/>
            <w:vAlign w:val="center"/>
          </w:tcPr>
          <w:p w14:paraId="6EAA64B3">
            <w:pPr>
              <w:jc w:val="center"/>
              <w:textAlignment w:val="center"/>
              <w:rPr>
                <w:rFonts w:hint="default" w:ascii="宋体" w:hAnsi="宋体" w:eastAsia="宋体" w:cs="宋体"/>
                <w:snapToGrid w:val="0"/>
                <w:color w:val="000000"/>
                <w:kern w:val="0"/>
                <w:sz w:val="22"/>
                <w:szCs w:val="22"/>
                <w:lang w:val="en-US" w:eastAsia="zh-CN" w:bidi="ar-SA"/>
              </w:rPr>
            </w:pPr>
          </w:p>
        </w:tc>
      </w:tr>
    </w:tbl>
    <w:p w14:paraId="4D18DBCA">
      <w:pPr>
        <w:spacing w:before="42" w:line="219" w:lineRule="auto"/>
        <w:ind w:right="-101" w:rightChars="-48"/>
        <w:rPr>
          <w:rFonts w:hint="eastAsia" w:ascii="宋体" w:hAnsi="宋体" w:eastAsia="宋体" w:cs="宋体"/>
          <w:spacing w:val="-1"/>
          <w:lang w:eastAsia="zh-CN"/>
        </w:rPr>
      </w:pPr>
    </w:p>
    <w:p w14:paraId="3BBF37F2">
      <w:pPr>
        <w:spacing w:before="42" w:line="219" w:lineRule="auto"/>
        <w:ind w:right="-101" w:rightChars="-48"/>
        <w:rPr>
          <w:rFonts w:hint="eastAsia" w:ascii="宋体" w:hAnsi="宋体" w:eastAsia="宋体" w:cs="宋体"/>
          <w:spacing w:val="-1"/>
          <w:lang w:eastAsia="zh-CN"/>
        </w:rPr>
      </w:pPr>
    </w:p>
    <w:p w14:paraId="1086F334">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hint="eastAsia" w:ascii="宋体" w:hAnsi="宋体" w:eastAsia="宋体" w:cs="宋体"/>
          <w:spacing w:val="-1"/>
          <w:lang w:eastAsia="zh-CN"/>
        </w:rPr>
      </w:pPr>
    </w:p>
    <w:p w14:paraId="59FFFF51">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hint="eastAsia" w:ascii="宋体" w:hAnsi="宋体" w:eastAsia="宋体" w:cs="宋体"/>
          <w:spacing w:val="-1"/>
          <w:lang w:eastAsia="zh-CN"/>
        </w:rPr>
      </w:pPr>
    </w:p>
    <w:p w14:paraId="1A6ECFE2">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hint="eastAsia" w:ascii="宋体" w:hAnsi="宋体" w:eastAsia="宋体" w:cs="宋体"/>
          <w:spacing w:val="-1"/>
          <w:lang w:eastAsia="zh-CN"/>
        </w:rPr>
      </w:pPr>
    </w:p>
    <w:p w14:paraId="2FB36107">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hint="eastAsia" w:ascii="宋体" w:hAnsi="宋体" w:eastAsia="宋体" w:cs="宋体"/>
          <w:spacing w:val="-1"/>
          <w:lang w:eastAsia="zh-CN"/>
        </w:rPr>
      </w:pPr>
    </w:p>
    <w:p w14:paraId="2D99314A">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hint="eastAsia" w:ascii="宋体" w:hAnsi="宋体" w:eastAsia="宋体" w:cs="宋体"/>
          <w:spacing w:val="-1"/>
          <w:lang w:eastAsia="zh-CN"/>
        </w:rPr>
      </w:pPr>
    </w:p>
    <w:p w14:paraId="5E46D022">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hint="eastAsia" w:ascii="宋体" w:hAnsi="宋体" w:eastAsia="宋体" w:cs="宋体"/>
          <w:spacing w:val="-1"/>
          <w:lang w:eastAsia="zh-CN"/>
        </w:rPr>
      </w:pPr>
    </w:p>
    <w:p w14:paraId="6CBD41B1">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hint="eastAsia" w:ascii="宋体" w:hAnsi="宋体" w:eastAsia="宋体" w:cs="宋体"/>
          <w:spacing w:val="-1"/>
          <w:lang w:eastAsia="zh-CN"/>
        </w:rPr>
      </w:pPr>
    </w:p>
    <w:p w14:paraId="504A3CB6">
      <w:pPr>
        <w:keepNext w:val="0"/>
        <w:keepLines w:val="0"/>
        <w:pageBreakBefore w:val="0"/>
        <w:widowControl/>
        <w:kinsoku w:val="0"/>
        <w:wordWrap/>
        <w:overflowPunct/>
        <w:topLinePunct w:val="0"/>
        <w:autoSpaceDE w:val="0"/>
        <w:autoSpaceDN w:val="0"/>
        <w:bidi w:val="0"/>
        <w:adjustRightInd w:val="0"/>
        <w:snapToGrid w:val="0"/>
        <w:spacing w:before="42" w:line="360" w:lineRule="auto"/>
        <w:ind w:right="-101" w:rightChars="-48"/>
        <w:textAlignment w:val="baseline"/>
        <w:rPr>
          <w:rFonts w:ascii="宋体" w:hAnsi="宋体" w:eastAsia="宋体" w:cs="宋体"/>
          <w:spacing w:val="-1"/>
          <w:lang w:eastAsia="zh-CN"/>
        </w:rPr>
      </w:pPr>
      <w:r>
        <w:rPr>
          <w:rFonts w:hint="eastAsia" w:ascii="宋体" w:hAnsi="宋体" w:eastAsia="宋体" w:cs="宋体"/>
          <w:spacing w:val="-1"/>
          <w:lang w:eastAsia="zh-CN"/>
        </w:rPr>
        <w:t>备注：1</w:t>
      </w:r>
      <w:r>
        <w:rPr>
          <w:rFonts w:hint="eastAsia" w:ascii="宋体" w:hAnsi="宋体" w:eastAsia="宋体" w:cs="宋体"/>
          <w:spacing w:val="-1"/>
          <w:lang w:val="en-US" w:eastAsia="zh-CN"/>
        </w:rPr>
        <w:t>.</w:t>
      </w:r>
      <w:r>
        <w:rPr>
          <w:rFonts w:hint="eastAsia" w:ascii="宋体" w:hAnsi="宋体" w:eastAsia="宋体" w:cs="宋体"/>
          <w:spacing w:val="-1"/>
          <w:lang w:eastAsia="zh-CN"/>
        </w:rPr>
        <w:t>本公示表的数据根据本县零售点布局规划实行定期评价、动态管理。</w:t>
      </w:r>
    </w:p>
    <w:p w14:paraId="67A07097">
      <w:pPr>
        <w:keepNext w:val="0"/>
        <w:keepLines w:val="0"/>
        <w:pageBreakBefore w:val="0"/>
        <w:widowControl/>
        <w:kinsoku w:val="0"/>
        <w:wordWrap/>
        <w:overflowPunct/>
        <w:topLinePunct w:val="0"/>
        <w:autoSpaceDE w:val="0"/>
        <w:autoSpaceDN w:val="0"/>
        <w:bidi w:val="0"/>
        <w:adjustRightInd w:val="0"/>
        <w:snapToGrid w:val="0"/>
        <w:spacing w:before="42" w:line="360" w:lineRule="auto"/>
        <w:ind w:firstLine="624" w:firstLineChars="300"/>
        <w:textAlignment w:val="baseline"/>
        <w:rPr>
          <w:rFonts w:ascii="宋体" w:hAnsi="宋体" w:eastAsia="宋体" w:cs="宋体"/>
          <w:spacing w:val="-1"/>
          <w:lang w:eastAsia="zh-CN"/>
        </w:rPr>
      </w:pPr>
      <w:r>
        <w:rPr>
          <w:rFonts w:hint="eastAsia" w:ascii="宋体" w:hAnsi="宋体" w:eastAsia="宋体" w:cs="宋体"/>
          <w:spacing w:val="-1"/>
          <w:lang w:eastAsia="zh-CN"/>
        </w:rPr>
        <w:t>2.每季度根据经济发展、城乡建设、市场形势等变化情况对本表中的数据进行动态调整，规划数相应进行动态更新，以每季度最后一次公示的数据为准。</w:t>
      </w:r>
    </w:p>
    <w:p w14:paraId="155A681C">
      <w:pPr>
        <w:keepNext w:val="0"/>
        <w:keepLines w:val="0"/>
        <w:pageBreakBefore w:val="0"/>
        <w:widowControl/>
        <w:kinsoku w:val="0"/>
        <w:wordWrap/>
        <w:overflowPunct/>
        <w:topLinePunct w:val="0"/>
        <w:autoSpaceDE w:val="0"/>
        <w:autoSpaceDN w:val="0"/>
        <w:bidi w:val="0"/>
        <w:adjustRightInd w:val="0"/>
        <w:snapToGrid w:val="0"/>
        <w:spacing w:before="42" w:line="360" w:lineRule="auto"/>
        <w:ind w:firstLine="624" w:firstLineChars="300"/>
        <w:textAlignment w:val="baseline"/>
        <w:rPr>
          <w:rFonts w:ascii="方正小标宋简体" w:hAnsi="Times New Roman" w:eastAsia="方正小标宋简体" w:cs="Times New Roman"/>
          <w:snapToGrid/>
          <w:color w:val="auto"/>
          <w:kern w:val="2"/>
          <w:sz w:val="32"/>
          <w:szCs w:val="32"/>
          <w:lang w:eastAsia="zh-CN"/>
        </w:rPr>
      </w:pPr>
      <w:r>
        <w:rPr>
          <w:rFonts w:hint="eastAsia" w:ascii="宋体" w:hAnsi="宋体" w:eastAsia="宋体" w:cs="宋体"/>
          <w:spacing w:val="-1"/>
          <w:lang w:eastAsia="zh-CN"/>
        </w:rPr>
        <w:t>3.本数据由云南省</w:t>
      </w:r>
      <w:r>
        <w:rPr>
          <w:rFonts w:hint="eastAsia" w:ascii="宋体" w:hAnsi="宋体" w:eastAsia="宋体" w:cs="宋体"/>
          <w:spacing w:val="-1"/>
          <w:lang w:val="en-US" w:eastAsia="zh-Hans"/>
        </w:rPr>
        <w:t>新平彝族傣族自治</w:t>
      </w:r>
      <w:r>
        <w:rPr>
          <w:rFonts w:hint="eastAsia" w:ascii="宋体" w:hAnsi="宋体" w:eastAsia="宋体" w:cs="宋体"/>
          <w:spacing w:val="-1"/>
          <w:lang w:eastAsia="zh-CN"/>
        </w:rPr>
        <w:t>县烟草专卖局负责解释，咨询电话：</w:t>
      </w:r>
      <w:r>
        <w:rPr>
          <w:rFonts w:hint="default" w:ascii="宋体" w:hAnsi="宋体" w:eastAsia="宋体" w:cs="宋体"/>
          <w:spacing w:val="-1"/>
          <w:lang w:eastAsia="zh-CN"/>
        </w:rPr>
        <w:t>0877-7016260</w:t>
      </w:r>
      <w:r>
        <w:rPr>
          <w:rFonts w:hint="eastAsia" w:ascii="宋体" w:hAnsi="宋体" w:eastAsia="宋体" w:cs="宋体"/>
          <w:spacing w:val="-1"/>
          <w:lang w:eastAsia="zh-CN"/>
        </w:rPr>
        <w:t>。</w:t>
      </w:r>
    </w:p>
    <w:p w14:paraId="5FCBED68">
      <w:pPr>
        <w:spacing w:before="104" w:line="224" w:lineRule="auto"/>
        <w:rPr>
          <w:rFonts w:hint="eastAsia" w:ascii="黑体" w:hAnsi="黑体" w:eastAsia="黑体" w:cs="黑体"/>
          <w:spacing w:val="8"/>
          <w:sz w:val="32"/>
          <w:szCs w:val="32"/>
        </w:rPr>
        <w:sectPr>
          <w:footerReference r:id="rId12" w:type="default"/>
          <w:footerReference r:id="rId13" w:type="even"/>
          <w:pgSz w:w="16838" w:h="11906" w:orient="landscape"/>
          <w:pgMar w:top="1531" w:right="2098" w:bottom="1531" w:left="1984" w:header="851" w:footer="992" w:gutter="0"/>
          <w:pgNumType w:fmt="numberInDash" w:start="1"/>
          <w:cols w:space="0" w:num="1"/>
          <w:rtlGutter w:val="0"/>
          <w:docGrid w:type="lines" w:linePitch="312" w:charSpace="0"/>
        </w:sectPr>
      </w:pPr>
    </w:p>
    <w:p w14:paraId="3629AF01">
      <w:pPr>
        <w:spacing w:before="104" w:line="224" w:lineRule="auto"/>
        <w:rPr>
          <w:rFonts w:hint="eastAsia" w:ascii="方正小标宋简体" w:eastAsia="黑体"/>
          <w:b/>
          <w:bCs/>
          <w:sz w:val="44"/>
          <w:szCs w:val="44"/>
          <w:lang w:val="en-US" w:eastAsia="zh-CN"/>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5</w:t>
      </w:r>
    </w:p>
    <w:p w14:paraId="002FDBCC">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云南省</w:t>
      </w:r>
      <w:r>
        <w:rPr>
          <w:rFonts w:hint="eastAsia" w:ascii="方正小标宋简体" w:eastAsia="方正小标宋简体"/>
          <w:sz w:val="44"/>
          <w:szCs w:val="44"/>
          <w:lang w:val="en-US" w:eastAsia="zh-Hans"/>
        </w:rPr>
        <w:t>新平彝族傣族自治</w:t>
      </w:r>
      <w:r>
        <w:rPr>
          <w:rFonts w:hint="eastAsia" w:ascii="方正小标宋简体" w:eastAsia="方正小标宋简体"/>
          <w:sz w:val="44"/>
          <w:szCs w:val="44"/>
        </w:rPr>
        <w:t>县烟草制品零售点合理布局规划数动态调整管理制度</w:t>
      </w:r>
    </w:p>
    <w:p w14:paraId="30DCECEE">
      <w:pPr>
        <w:numPr>
          <w:ilvl w:val="0"/>
          <w:numId w:val="0"/>
        </w:numPr>
        <w:adjustRightInd w:val="0"/>
        <w:snapToGrid w:val="0"/>
        <w:spacing w:line="336" w:lineRule="auto"/>
        <w:ind w:firstLine="660" w:firstLineChars="200"/>
        <w:jc w:val="both"/>
        <w:rPr>
          <w:rFonts w:ascii="仿宋_GB2312" w:hAnsi="仿宋_GB2312" w:eastAsia="仿宋_GB2312" w:cs="仿宋_GB2312"/>
          <w:kern w:val="28"/>
          <w:sz w:val="32"/>
          <w:szCs w:val="32"/>
        </w:rPr>
      </w:pPr>
      <w:r>
        <w:rPr>
          <w:rFonts w:hint="eastAsia" w:ascii="黑体" w:hAnsi="黑体" w:eastAsia="黑体" w:cs="黑体"/>
          <w:spacing w:val="5"/>
          <w:sz w:val="32"/>
          <w:szCs w:val="32"/>
          <w:lang w:val="en-US" w:eastAsia="zh-CN"/>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为建立合理布局规划管理动态调整机制，做好规范性文件的动态管理，保证《云南省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kern w:val="28"/>
          <w:sz w:val="32"/>
          <w:szCs w:val="32"/>
        </w:rPr>
        <w:t>办法实施细则》等法律法规规章和规范性文件的规定，特制定本制度。</w:t>
      </w:r>
    </w:p>
    <w:p w14:paraId="366E2701">
      <w:pPr>
        <w:numPr>
          <w:ilvl w:val="0"/>
          <w:numId w:val="0"/>
        </w:numPr>
        <w:adjustRightInd w:val="0"/>
        <w:snapToGrid w:val="0"/>
        <w:spacing w:line="336" w:lineRule="auto"/>
        <w:ind w:firstLine="660" w:firstLineChars="200"/>
        <w:jc w:val="both"/>
        <w:rPr>
          <w:rFonts w:ascii="楷体_GB2312" w:hAnsi="仿宋_GB2312" w:eastAsia="楷体_GB2312" w:cs="仿宋_GB2312"/>
          <w:sz w:val="32"/>
          <w:szCs w:val="32"/>
        </w:rPr>
      </w:pPr>
      <w:r>
        <w:rPr>
          <w:rFonts w:hint="eastAsia" w:ascii="黑体" w:hAnsi="黑体" w:eastAsia="黑体" w:cs="黑体"/>
          <w:spacing w:val="5"/>
          <w:sz w:val="32"/>
          <w:szCs w:val="32"/>
          <w:lang w:val="en-US" w:eastAsia="zh-CN"/>
        </w:rPr>
        <w:t>第二条</w:t>
      </w:r>
      <w:r>
        <w:rPr>
          <w:rFonts w:hint="eastAsia" w:ascii="仿宋_GB2312" w:hAnsi="仿宋_GB2312" w:eastAsia="仿宋_GB2312" w:cs="仿宋_GB2312"/>
          <w:kern w:val="28"/>
          <w:sz w:val="32"/>
          <w:szCs w:val="32"/>
          <w:lang w:val="en-US" w:eastAsia="zh-CN"/>
        </w:rPr>
        <w:t xml:space="preserve">  </w:t>
      </w:r>
      <w:r>
        <w:rPr>
          <w:rFonts w:hint="eastAsia" w:ascii="仿宋_GB2312" w:hAnsi="仿宋_GB2312" w:eastAsia="仿宋_GB2312" w:cs="仿宋_GB2312"/>
          <w:kern w:val="28"/>
          <w:sz w:val="32"/>
          <w:szCs w:val="32"/>
        </w:rPr>
        <w:t>根据《云南省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w:t>
      </w:r>
      <w:r>
        <w:rPr>
          <w:rFonts w:hint="eastAsia" w:ascii="仿宋_GB2312" w:hAnsi="仿宋_GB2312" w:eastAsia="仿宋_GB2312" w:cs="仿宋_GB2312"/>
          <w:kern w:val="28"/>
          <w:sz w:val="32"/>
          <w:szCs w:val="32"/>
        </w:rPr>
        <w:t>烟草制品零售点合理布局规划》，</w:t>
      </w:r>
      <w:r>
        <w:rPr>
          <w:rFonts w:hint="eastAsia" w:ascii="仿宋_GB2312" w:hAnsi="仿宋_GB2312" w:eastAsia="仿宋_GB2312" w:cs="仿宋_GB2312"/>
          <w:kern w:val="28"/>
          <w:sz w:val="32"/>
          <w:szCs w:val="32"/>
          <w:lang w:val="en-US" w:eastAsia="zh-Hans"/>
        </w:rPr>
        <w:t>新平</w:t>
      </w:r>
      <w:r>
        <w:rPr>
          <w:rFonts w:hint="eastAsia" w:ascii="仿宋_GB2312" w:hAnsi="仿宋_GB2312" w:eastAsia="仿宋_GB2312" w:cs="仿宋_GB2312"/>
          <w:kern w:val="28"/>
          <w:sz w:val="32"/>
          <w:szCs w:val="32"/>
        </w:rPr>
        <w:t>县</w:t>
      </w:r>
      <w:r>
        <w:rPr>
          <w:rFonts w:hint="eastAsia" w:ascii="仿宋_GB2312" w:hAnsi="仿宋_GB2312" w:eastAsia="仿宋_GB2312" w:cs="仿宋_GB2312"/>
          <w:sz w:val="32"/>
          <w:szCs w:val="32"/>
        </w:rPr>
        <w:t>烟草专卖局每季度根据本地</w:t>
      </w:r>
      <w:r>
        <w:rPr>
          <w:rFonts w:eastAsia="仿宋_GB2312"/>
          <w:sz w:val="32"/>
          <w:szCs w:val="32"/>
        </w:rPr>
        <w:t>人口数量、交通状况、经济发展水平、居民消费能力、消费购买习惯</w:t>
      </w:r>
      <w:r>
        <w:rPr>
          <w:rFonts w:hint="eastAsia" w:ascii="仿宋_GB2312" w:hAnsi="仿宋_GB2312" w:eastAsia="仿宋_GB2312" w:cs="仿宋_GB2312"/>
          <w:sz w:val="32"/>
          <w:szCs w:val="32"/>
        </w:rPr>
        <w:t>等变化情况，对辖区单元网格零售点合理布局规划数进行动态调整。</w:t>
      </w:r>
    </w:p>
    <w:p w14:paraId="701140AD">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零售点合理布局规划数动态调整情况应提交云南省</w:t>
      </w:r>
      <w:r>
        <w:rPr>
          <w:rFonts w:hint="eastAsia" w:ascii="仿宋_GB2312" w:hAnsi="仿宋_GB2312" w:eastAsia="仿宋_GB2312" w:cs="仿宋_GB2312"/>
          <w:sz w:val="32"/>
          <w:szCs w:val="32"/>
          <w:lang w:val="en-US" w:eastAsia="zh-Hans"/>
        </w:rPr>
        <w:t>新平</w:t>
      </w:r>
      <w:r>
        <w:rPr>
          <w:rFonts w:hint="eastAsia" w:ascii="仿宋_GB2312" w:hAnsi="仿宋_GB2312" w:eastAsia="仿宋_GB2312" w:cs="仿宋_GB2312"/>
          <w:sz w:val="32"/>
          <w:szCs w:val="32"/>
          <w:lang w:val="en-US" w:eastAsia="zh-CN"/>
        </w:rPr>
        <w:t>彝族傣族自治</w:t>
      </w:r>
      <w:r>
        <w:rPr>
          <w:rFonts w:hint="eastAsia" w:ascii="仿宋_GB2312" w:hAnsi="仿宋_GB2312" w:eastAsia="仿宋_GB2312" w:cs="仿宋_GB2312"/>
          <w:sz w:val="32"/>
          <w:szCs w:val="32"/>
          <w:lang w:val="en-US" w:eastAsia="zh-Hans"/>
        </w:rPr>
        <w:t>县</w:t>
      </w:r>
      <w:r>
        <w:rPr>
          <w:rFonts w:hint="eastAsia" w:ascii="仿宋_GB2312" w:eastAsia="仿宋_GB2312"/>
          <w:sz w:val="32"/>
          <w:szCs w:val="32"/>
        </w:rPr>
        <w:t>烟草专卖局领导班子集体讨论决定。讨论通过的，应在</w:t>
      </w:r>
      <w:r>
        <w:rPr>
          <w:rFonts w:hint="eastAsia" w:ascii="仿宋_GB2312" w:hAnsi="仿宋_GB2312" w:eastAsia="仿宋_GB2312" w:cs="仿宋_GB2312"/>
          <w:sz w:val="32"/>
          <w:szCs w:val="32"/>
        </w:rPr>
        <w:t>五日内通过政府网站、行业网站及政务服务大厅等平台公示《云南省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县烟草制品零售点合理布局公示表》，同时报上一级烟草专卖局备案。</w:t>
      </w:r>
    </w:p>
    <w:p w14:paraId="00355DC5">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零售点合理布局规划数动态调整情况</w:t>
      </w:r>
      <w:r>
        <w:rPr>
          <w:rFonts w:hint="eastAsia" w:ascii="仿宋_GB2312" w:hAnsi="仿宋_GB2312" w:eastAsia="仿宋_GB2312" w:cs="仿宋_GB2312"/>
          <w:kern w:val="28"/>
          <w:sz w:val="32"/>
          <w:szCs w:val="32"/>
        </w:rPr>
        <w:t>于公示之日起三日后开始实施</w:t>
      </w:r>
      <w:r>
        <w:rPr>
          <w:rFonts w:hint="eastAsia" w:ascii="仿宋_GB2312" w:hAnsi="仿宋_GB2312" w:eastAsia="仿宋_GB2312" w:cs="仿宋_GB2312"/>
          <w:sz w:val="32"/>
          <w:szCs w:val="32"/>
        </w:rPr>
        <w:t>。</w:t>
      </w:r>
    </w:p>
    <w:p w14:paraId="5B0086FC">
      <w:pPr>
        <w:numPr>
          <w:ilvl w:val="0"/>
          <w:numId w:val="0"/>
        </w:numPr>
        <w:adjustRightInd w:val="0"/>
        <w:snapToGrid w:val="0"/>
        <w:spacing w:line="336" w:lineRule="auto"/>
        <w:ind w:firstLine="660" w:firstLineChars="200"/>
        <w:jc w:val="both"/>
        <w:rPr>
          <w:rFonts w:ascii="楷体" w:hAnsi="楷体" w:eastAsia="楷体" w:cs="楷体"/>
          <w:sz w:val="32"/>
          <w:szCs w:val="32"/>
        </w:rPr>
      </w:pPr>
      <w:r>
        <w:rPr>
          <w:rFonts w:hint="eastAsia" w:ascii="黑体" w:hAnsi="黑体" w:eastAsia="黑体" w:cs="黑体"/>
          <w:spacing w:val="5"/>
          <w:sz w:val="32"/>
          <w:szCs w:val="32"/>
          <w:lang w:val="en-US" w:eastAsia="zh-CN"/>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云南省</w:t>
      </w:r>
      <w:r>
        <w:rPr>
          <w:rFonts w:hint="eastAsia" w:ascii="仿宋_GB2312" w:hAnsi="仿宋_GB2312" w:eastAsia="仿宋_GB2312" w:cs="仿宋_GB2312"/>
          <w:sz w:val="32"/>
          <w:szCs w:val="32"/>
          <w:lang w:val="en-US" w:eastAsia="zh-Hans"/>
        </w:rPr>
        <w:t>新平</w:t>
      </w:r>
      <w:r>
        <w:rPr>
          <w:rFonts w:hint="eastAsia" w:ascii="仿宋_GB2312" w:hAnsi="仿宋_GB2312" w:eastAsia="仿宋_GB2312" w:cs="仿宋_GB2312"/>
          <w:sz w:val="32"/>
          <w:szCs w:val="32"/>
          <w:lang w:val="en-US" w:eastAsia="zh-CN"/>
        </w:rPr>
        <w:t>彝族傣族自治</w:t>
      </w:r>
      <w:r>
        <w:rPr>
          <w:rFonts w:hint="eastAsia" w:ascii="仿宋_GB2312" w:hAnsi="仿宋_GB2312" w:eastAsia="仿宋_GB2312" w:cs="仿宋_GB2312"/>
          <w:sz w:val="32"/>
          <w:szCs w:val="32"/>
          <w:lang w:val="en-US" w:eastAsia="zh-Hans"/>
        </w:rPr>
        <w:t>县</w:t>
      </w:r>
      <w:r>
        <w:rPr>
          <w:rFonts w:hint="eastAsia" w:ascii="仿宋_GB2312" w:hAnsi="仿宋_GB2312" w:eastAsia="仿宋_GB2312" w:cs="仿宋_GB2312"/>
          <w:sz w:val="32"/>
          <w:szCs w:val="32"/>
        </w:rPr>
        <w:t>烟草专卖局每年年底向上一级烟草专卖局报告本年度烟草制品零售点合理布局规划数动态调整工作执行情况。</w:t>
      </w:r>
    </w:p>
    <w:p w14:paraId="112F6435">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096929E4">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本制度由云南省</w:t>
      </w:r>
      <w:r>
        <w:rPr>
          <w:rFonts w:hint="eastAsia" w:ascii="仿宋_GB2312" w:hAnsi="仿宋_GB2312" w:eastAsia="仿宋_GB2312" w:cs="仿宋_GB2312"/>
          <w:sz w:val="32"/>
          <w:szCs w:val="32"/>
          <w:lang w:val="en-US" w:eastAsia="zh-Hans"/>
        </w:rPr>
        <w:t>新平</w:t>
      </w:r>
      <w:r>
        <w:rPr>
          <w:rFonts w:hint="eastAsia" w:ascii="仿宋_GB2312" w:hAnsi="仿宋_GB2312" w:eastAsia="仿宋_GB2312" w:cs="仿宋_GB2312"/>
          <w:sz w:val="32"/>
          <w:szCs w:val="32"/>
          <w:lang w:val="en-US" w:eastAsia="zh-CN"/>
        </w:rPr>
        <w:t>彝族傣族自治</w:t>
      </w:r>
      <w:r>
        <w:rPr>
          <w:rFonts w:hint="eastAsia" w:ascii="仿宋_GB2312" w:hAnsi="仿宋_GB2312" w:eastAsia="仿宋_GB2312" w:cs="仿宋_GB2312"/>
          <w:sz w:val="32"/>
          <w:szCs w:val="32"/>
          <w:lang w:val="en-US" w:eastAsia="zh-Hans"/>
        </w:rPr>
        <w:t>县</w:t>
      </w:r>
      <w:r>
        <w:rPr>
          <w:rFonts w:hint="eastAsia" w:ascii="仿宋_GB2312" w:hAnsi="仿宋_GB2312" w:eastAsia="仿宋_GB2312" w:cs="仿宋_GB2312"/>
          <w:sz w:val="32"/>
          <w:szCs w:val="32"/>
        </w:rPr>
        <w:t>烟草专卖局负责解释。</w:t>
      </w:r>
    </w:p>
    <w:p w14:paraId="62CF6E5B">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本制度自《云南省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县烟草制品零售点合理布局规划》实施之日起同时施行。</w:t>
      </w:r>
    </w:p>
    <w:p w14:paraId="0AAD5E7C">
      <w:pPr>
        <w:keepNext w:val="0"/>
        <w:keepLines w:val="0"/>
        <w:pageBreakBefore w:val="0"/>
        <w:widowControl w:val="0"/>
        <w:kinsoku/>
        <w:wordWrap/>
        <w:overflowPunct/>
        <w:topLinePunct w:val="0"/>
        <w:autoSpaceDE/>
        <w:autoSpaceDN/>
        <w:bidi w:val="0"/>
        <w:adjustRightInd w:val="0"/>
        <w:snapToGrid/>
        <w:spacing w:line="336" w:lineRule="auto"/>
        <w:jc w:val="both"/>
        <w:textAlignment w:val="auto"/>
        <w:rPr>
          <w:rFonts w:hint="eastAsia" w:ascii="仿宋_GB2312" w:hAnsi="Times New Roman" w:eastAsia="仿宋_GB2312" w:cs="Times New Roman"/>
          <w:snapToGrid/>
          <w:kern w:val="2"/>
          <w:sz w:val="32"/>
          <w:szCs w:val="32"/>
          <w:lang w:eastAsia="zh-CN"/>
        </w:rPr>
        <w:sectPr>
          <w:pgSz w:w="11906" w:h="16838"/>
          <w:pgMar w:top="2098" w:right="1531" w:bottom="1984" w:left="1531" w:header="851" w:footer="992" w:gutter="0"/>
          <w:pgNumType w:fmt="numberInDash" w:start="1"/>
          <w:cols w:space="0" w:num="1"/>
          <w:rtlGutter w:val="0"/>
          <w:docGrid w:type="lines" w:linePitch="312" w:charSpace="0"/>
        </w:sectPr>
      </w:pPr>
    </w:p>
    <w:p w14:paraId="0059E4F2">
      <w:pPr>
        <w:spacing w:before="104" w:line="224" w:lineRule="auto"/>
        <w:rPr>
          <w:rFonts w:hint="eastAsia" w:ascii="黑体" w:hAnsi="黑体" w:eastAsia="黑体" w:cs="黑体"/>
          <w:spacing w:val="8"/>
          <w:sz w:val="32"/>
          <w:szCs w:val="32"/>
          <w:lang w:eastAsia="zh-CN"/>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6</w:t>
      </w:r>
    </w:p>
    <w:p w14:paraId="7FE582C3">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云南省</w:t>
      </w:r>
      <w:r>
        <w:rPr>
          <w:rFonts w:hint="eastAsia" w:ascii="方正小标宋简体" w:eastAsia="方正小标宋简体"/>
          <w:sz w:val="44"/>
          <w:szCs w:val="44"/>
          <w:lang w:val="en-US" w:eastAsia="zh-Hans"/>
        </w:rPr>
        <w:t>新平彝族傣族自治</w:t>
      </w:r>
      <w:r>
        <w:rPr>
          <w:rFonts w:hint="eastAsia" w:ascii="方正小标宋简体" w:eastAsia="方正小标宋简体"/>
          <w:sz w:val="44"/>
          <w:szCs w:val="44"/>
        </w:rPr>
        <w:t>县烟草制品</w:t>
      </w:r>
    </w:p>
    <w:p w14:paraId="03DBAB27">
      <w:pPr>
        <w:snapToGrid w:val="0"/>
        <w:spacing w:line="317" w:lineRule="auto"/>
        <w:jc w:val="center"/>
        <w:rPr>
          <w:rFonts w:ascii="仿宋_GB2312" w:hAnsi="仿宋_GB2312" w:eastAsia="仿宋_GB2312" w:cs="仿宋_GB2312"/>
          <w:sz w:val="32"/>
          <w:szCs w:val="32"/>
        </w:rPr>
      </w:pPr>
      <w:r>
        <w:rPr>
          <w:rFonts w:hint="eastAsia" w:ascii="方正小标宋简体" w:eastAsia="方正小标宋简体"/>
          <w:sz w:val="44"/>
          <w:szCs w:val="44"/>
        </w:rPr>
        <w:t>零售点排队轮候制度</w:t>
      </w:r>
    </w:p>
    <w:p w14:paraId="07132A41">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为坚持公平、公正、公开原则，规范实施《云南省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县烟草制品零售点合理布局规划》，根据《中华人民共和国行政许可法》《烟草专卖许可证管理办法》《烟草专卖许可证管理办法实施细则》等法律法规规章和规范性文件的规定，结合</w:t>
      </w:r>
      <w:r>
        <w:rPr>
          <w:rFonts w:hint="eastAsia" w:ascii="仿宋_GB2312" w:hAnsi="仿宋_GB2312" w:eastAsia="仿宋_GB2312" w:cs="仿宋_GB2312"/>
          <w:sz w:val="32"/>
          <w:szCs w:val="32"/>
          <w:lang w:val="en-US" w:eastAsia="zh-Hans"/>
        </w:rPr>
        <w:t>新平</w:t>
      </w:r>
      <w:r>
        <w:rPr>
          <w:rFonts w:hint="eastAsia" w:ascii="仿宋_GB2312" w:hAnsi="仿宋_GB2312" w:eastAsia="仿宋_GB2312" w:cs="仿宋_GB2312"/>
          <w:sz w:val="32"/>
          <w:szCs w:val="32"/>
          <w:lang w:val="en-US" w:eastAsia="zh-CN"/>
        </w:rPr>
        <w:t>彝族傣族自治</w:t>
      </w:r>
      <w:r>
        <w:rPr>
          <w:rFonts w:hint="eastAsia" w:ascii="仿宋_GB2312" w:hAnsi="仿宋_GB2312" w:eastAsia="仿宋_GB2312" w:cs="仿宋_GB2312"/>
          <w:sz w:val="32"/>
          <w:szCs w:val="32"/>
        </w:rPr>
        <w:t>县实际，制定本制度。</w:t>
      </w:r>
    </w:p>
    <w:p w14:paraId="45290DAA">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本制度适用于</w:t>
      </w:r>
      <w:r>
        <w:rPr>
          <w:rFonts w:hint="eastAsia" w:ascii="仿宋_GB2312" w:hAnsi="仿宋_GB2312" w:eastAsia="仿宋_GB2312" w:cs="仿宋_GB2312"/>
          <w:sz w:val="32"/>
          <w:szCs w:val="32"/>
          <w:lang w:val="en-US" w:eastAsia="zh-Hans"/>
        </w:rPr>
        <w:t>新平</w:t>
      </w:r>
      <w:r>
        <w:rPr>
          <w:rFonts w:hint="eastAsia" w:ascii="仿宋_GB2312" w:hAnsi="仿宋_GB2312" w:eastAsia="仿宋_GB2312" w:cs="仿宋_GB2312"/>
          <w:sz w:val="32"/>
          <w:szCs w:val="32"/>
          <w:lang w:val="en-US" w:eastAsia="zh-CN"/>
        </w:rPr>
        <w:t>彝族傣族自治</w:t>
      </w:r>
      <w:r>
        <w:rPr>
          <w:rFonts w:hint="eastAsia" w:ascii="仿宋_GB2312" w:hAnsi="仿宋_GB2312" w:eastAsia="仿宋_GB2312" w:cs="仿宋_GB2312"/>
          <w:sz w:val="32"/>
          <w:szCs w:val="32"/>
        </w:rPr>
        <w:t>县行政辖区烟草制品零售点新办申请排队轮候管理。</w:t>
      </w:r>
    </w:p>
    <w:p w14:paraId="34A5E299">
      <w:pPr>
        <w:numPr>
          <w:ilvl w:val="0"/>
          <w:numId w:val="0"/>
        </w:numPr>
        <w:adjustRightInd w:val="0"/>
        <w:snapToGrid w:val="0"/>
        <w:spacing w:line="336" w:lineRule="auto"/>
        <w:ind w:firstLine="660" w:firstLineChars="200"/>
        <w:jc w:val="both"/>
        <w:rPr>
          <w:rFonts w:ascii="黑体" w:hAnsi="黑体" w:eastAsia="黑体" w:cs="黑体"/>
          <w:sz w:val="32"/>
          <w:szCs w:val="32"/>
        </w:rPr>
      </w:pPr>
      <w:r>
        <w:rPr>
          <w:rFonts w:hint="eastAsia" w:ascii="黑体" w:hAnsi="黑体" w:eastAsia="黑体" w:cs="黑体"/>
          <w:spacing w:val="5"/>
          <w:sz w:val="32"/>
          <w:szCs w:val="32"/>
          <w:lang w:val="en-US" w:eastAsia="zh-CN"/>
        </w:rPr>
        <w:t>第三条</w:t>
      </w:r>
      <w:r>
        <w:rPr>
          <w:rFonts w:hint="eastAsia" w:ascii="仿宋_GB2312" w:hAnsi="仿宋_GB2312" w:eastAsia="仿宋_GB2312" w:cs="仿宋_GB2312"/>
          <w:kern w:val="28"/>
          <w:sz w:val="32"/>
          <w:szCs w:val="32"/>
          <w:lang w:val="en-US" w:eastAsia="zh-CN"/>
        </w:rPr>
        <w:t xml:space="preserve">  </w:t>
      </w:r>
      <w:r>
        <w:rPr>
          <w:rFonts w:hint="eastAsia" w:ascii="仿宋_GB2312" w:hAnsi="仿宋_GB2312" w:eastAsia="仿宋_GB2312" w:cs="仿宋_GB2312"/>
          <w:kern w:val="28"/>
          <w:sz w:val="32"/>
          <w:szCs w:val="32"/>
        </w:rPr>
        <w:t>本县</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lang w:eastAsia="zh-CN"/>
        </w:rPr>
        <w:t>单元网格</w:t>
      </w:r>
      <w:r>
        <w:rPr>
          <w:rFonts w:hint="eastAsia" w:ascii="仿宋_GB2312" w:hAnsi="仿宋_GB2312" w:eastAsia="仿宋_GB2312" w:cs="仿宋_GB2312"/>
          <w:kern w:val="28"/>
          <w:sz w:val="32"/>
          <w:szCs w:val="32"/>
        </w:rPr>
        <w:t>内的零售点实际数量大于或等于</w:t>
      </w:r>
      <w:r>
        <w:rPr>
          <w:rFonts w:hint="eastAsia" w:ascii="仿宋_GB2312" w:hAnsi="仿宋_GB2312" w:eastAsia="仿宋_GB2312" w:cs="仿宋_GB2312"/>
          <w:sz w:val="32"/>
          <w:szCs w:val="32"/>
        </w:rPr>
        <w:t>合理容量</w:t>
      </w:r>
      <w:r>
        <w:rPr>
          <w:rFonts w:hint="eastAsia" w:ascii="仿宋_GB2312" w:hAnsi="仿宋_GB2312" w:eastAsia="仿宋_GB2312" w:cs="仿宋_GB2312"/>
          <w:kern w:val="28"/>
          <w:sz w:val="32"/>
          <w:szCs w:val="32"/>
        </w:rPr>
        <w:t>时不再设新的零售点。新办申请人应按本制度首先提出排队轮候申请，直至该</w:t>
      </w:r>
      <w:r>
        <w:rPr>
          <w:rFonts w:hint="eastAsia" w:ascii="仿宋_GB2312" w:hAnsi="仿宋_GB2312" w:eastAsia="仿宋_GB2312" w:cs="仿宋_GB2312"/>
          <w:kern w:val="28"/>
          <w:sz w:val="32"/>
          <w:szCs w:val="32"/>
          <w:lang w:eastAsia="zh-CN"/>
        </w:rPr>
        <w:t>单元网格</w:t>
      </w:r>
      <w:r>
        <w:rPr>
          <w:rFonts w:hint="eastAsia" w:ascii="仿宋_GB2312" w:hAnsi="仿宋_GB2312" w:eastAsia="仿宋_GB2312" w:cs="仿宋_GB2312"/>
          <w:kern w:val="28"/>
          <w:sz w:val="32"/>
          <w:szCs w:val="32"/>
        </w:rPr>
        <w:t>内的零售点实际数量小于</w:t>
      </w:r>
      <w:r>
        <w:rPr>
          <w:rFonts w:hint="eastAsia" w:ascii="仿宋_GB2312" w:hAnsi="仿宋_GB2312" w:eastAsia="仿宋_GB2312" w:cs="仿宋_GB2312"/>
          <w:sz w:val="32"/>
          <w:szCs w:val="32"/>
        </w:rPr>
        <w:t>合理容量时，再按照排队轮候的顺序依次提交新办申请。</w:t>
      </w:r>
    </w:p>
    <w:p w14:paraId="7CEEF1DB">
      <w:pPr>
        <w:numPr>
          <w:ilvl w:val="0"/>
          <w:numId w:val="0"/>
        </w:numPr>
        <w:adjustRightInd w:val="0"/>
        <w:snapToGrid w:val="0"/>
        <w:spacing w:line="336" w:lineRule="auto"/>
        <w:ind w:firstLine="660" w:firstLineChars="200"/>
        <w:jc w:val="both"/>
        <w:rPr>
          <w:rFonts w:ascii="楷体" w:hAnsi="楷体" w:eastAsia="楷体" w:cs="楷体"/>
          <w:sz w:val="32"/>
          <w:szCs w:val="32"/>
        </w:rPr>
      </w:pPr>
      <w:r>
        <w:rPr>
          <w:rFonts w:hint="eastAsia" w:ascii="黑体" w:hAnsi="黑体" w:eastAsia="黑体" w:cs="黑体"/>
          <w:spacing w:val="5"/>
          <w:sz w:val="32"/>
          <w:szCs w:val="32"/>
          <w:lang w:val="en-US" w:eastAsia="zh-CN"/>
        </w:rPr>
        <w:t>第四条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在本制度首次施行时，根据</w:t>
      </w:r>
      <w:r>
        <w:rPr>
          <w:rFonts w:hint="eastAsia" w:ascii="仿宋_GB2312" w:hAnsi="仿宋_GB2312" w:eastAsia="仿宋_GB2312" w:cs="仿宋_GB2312"/>
          <w:kern w:val="28"/>
          <w:sz w:val="32"/>
          <w:szCs w:val="32"/>
        </w:rPr>
        <w:t>本县</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lang w:eastAsia="zh-CN"/>
        </w:rPr>
        <w:t>单元网格</w:t>
      </w:r>
      <w:r>
        <w:rPr>
          <w:rFonts w:hint="eastAsia" w:ascii="仿宋_GB2312" w:hAnsi="仿宋_GB2312" w:eastAsia="仿宋_GB2312" w:cs="仿宋_GB2312"/>
          <w:kern w:val="28"/>
          <w:sz w:val="32"/>
          <w:szCs w:val="32"/>
        </w:rPr>
        <w:t>的合理容量公示情况，对符合排队轮候情形的</w:t>
      </w:r>
      <w:r>
        <w:rPr>
          <w:rFonts w:hint="eastAsia" w:ascii="仿宋_GB2312" w:hAnsi="仿宋_GB2312" w:eastAsia="仿宋_GB2312" w:cs="仿宋_GB2312"/>
          <w:kern w:val="28"/>
          <w:sz w:val="32"/>
          <w:szCs w:val="32"/>
          <w:lang w:eastAsia="zh-CN"/>
        </w:rPr>
        <w:t>单元网格</w:t>
      </w:r>
      <w:r>
        <w:rPr>
          <w:rFonts w:hint="eastAsia" w:ascii="仿宋_GB2312" w:hAnsi="仿宋_GB2312" w:eastAsia="仿宋_GB2312" w:cs="仿宋_GB2312"/>
          <w:kern w:val="28"/>
          <w:sz w:val="32"/>
          <w:szCs w:val="32"/>
        </w:rPr>
        <w:t>，发证机关采取集中抽签方式确定该</w:t>
      </w:r>
      <w:r>
        <w:rPr>
          <w:rFonts w:hint="eastAsia" w:ascii="仿宋_GB2312" w:hAnsi="仿宋_GB2312" w:eastAsia="仿宋_GB2312" w:cs="仿宋_GB2312"/>
          <w:kern w:val="28"/>
          <w:sz w:val="32"/>
          <w:szCs w:val="32"/>
          <w:lang w:eastAsia="zh-CN"/>
        </w:rPr>
        <w:t>单元网格</w:t>
      </w:r>
      <w:r>
        <w:rPr>
          <w:rFonts w:hint="eastAsia" w:ascii="仿宋_GB2312" w:hAnsi="仿宋_GB2312" w:eastAsia="仿宋_GB2312" w:cs="仿宋_GB2312"/>
          <w:kern w:val="28"/>
          <w:sz w:val="32"/>
          <w:szCs w:val="32"/>
        </w:rPr>
        <w:t>首次排队轮候顺序。</w:t>
      </w:r>
    </w:p>
    <w:p w14:paraId="6C710256">
      <w:pPr>
        <w:adjustRightInd w:val="0"/>
        <w:snapToGrid w:val="0"/>
        <w:spacing w:line="336" w:lineRule="auto"/>
        <w:ind w:firstLine="640" w:firstLineChars="200"/>
        <w:jc w:val="both"/>
        <w:rPr>
          <w:rFonts w:ascii="楷体" w:hAnsi="楷体" w:eastAsia="楷体" w:cs="楷体"/>
          <w:sz w:val="32"/>
          <w:szCs w:val="32"/>
        </w:rPr>
      </w:pPr>
      <w:r>
        <w:rPr>
          <w:rFonts w:hint="eastAsia" w:ascii="仿宋_GB2312" w:hAnsi="黑体" w:eastAsia="仿宋_GB2312"/>
          <w:sz w:val="32"/>
          <w:szCs w:val="32"/>
        </w:rPr>
        <w:t>在本制度首次施行前，已执行排队轮候的，按原排队轮候顺序由</w:t>
      </w:r>
      <w:r>
        <w:rPr>
          <w:rFonts w:hint="eastAsia" w:ascii="仿宋_GB2312" w:hAnsi="仿宋_GB2312" w:eastAsia="仿宋_GB2312" w:cs="仿宋_GB2312"/>
          <w:kern w:val="28"/>
          <w:sz w:val="32"/>
          <w:szCs w:val="32"/>
        </w:rPr>
        <w:t>发证机关录入排队轮候系统。</w:t>
      </w:r>
    </w:p>
    <w:p w14:paraId="4F998D35">
      <w:pPr>
        <w:numPr>
          <w:ilvl w:val="0"/>
          <w:numId w:val="0"/>
        </w:numPr>
        <w:adjustRightInd w:val="0"/>
        <w:snapToGrid w:val="0"/>
        <w:spacing w:line="336" w:lineRule="auto"/>
        <w:ind w:firstLine="660" w:firstLineChars="200"/>
        <w:jc w:val="both"/>
        <w:rPr>
          <w:rFonts w:ascii="楷体" w:hAnsi="楷体" w:eastAsia="楷体" w:cs="楷体"/>
          <w:sz w:val="32"/>
          <w:szCs w:val="32"/>
        </w:rPr>
      </w:pPr>
      <w:r>
        <w:rPr>
          <w:rFonts w:hint="eastAsia" w:ascii="黑体" w:hAnsi="黑体" w:eastAsia="黑体" w:cs="黑体"/>
          <w:spacing w:val="5"/>
          <w:sz w:val="32"/>
          <w:szCs w:val="32"/>
          <w:lang w:val="en-US" w:eastAsia="zh-CN"/>
        </w:rPr>
        <w:t>第五条</w:t>
      </w:r>
      <w:r>
        <w:rPr>
          <w:rFonts w:hint="eastAsia" w:ascii="仿宋_GB2312" w:hAnsi="仿宋_GB2312" w:eastAsia="仿宋_GB2312" w:cs="仿宋_GB2312"/>
          <w:kern w:val="28"/>
          <w:sz w:val="32"/>
          <w:szCs w:val="32"/>
          <w:lang w:val="en-US" w:eastAsia="zh-CN"/>
        </w:rPr>
        <w:t xml:space="preserve">  </w:t>
      </w:r>
      <w:r>
        <w:rPr>
          <w:rFonts w:hint="eastAsia" w:ascii="仿宋_GB2312" w:hAnsi="仿宋_GB2312" w:eastAsia="仿宋_GB2312" w:cs="仿宋_GB2312"/>
          <w:kern w:val="28"/>
          <w:sz w:val="32"/>
          <w:szCs w:val="32"/>
        </w:rPr>
        <w: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t>
      </w:r>
    </w:p>
    <w:p w14:paraId="7B4092B4">
      <w:pPr>
        <w:numPr>
          <w:ilvl w:val="0"/>
          <w:numId w:val="0"/>
        </w:numPr>
        <w:adjustRightInd w:val="0"/>
        <w:snapToGrid w:val="0"/>
        <w:spacing w:line="336" w:lineRule="auto"/>
        <w:ind w:firstLine="640" w:firstLineChars="200"/>
        <w:jc w:val="both"/>
        <w:rPr>
          <w:rFonts w:ascii="黑体" w:hAnsi="黑体" w:eastAsia="黑体" w:cs="黑体"/>
          <w:sz w:val="32"/>
          <w:szCs w:val="32"/>
        </w:rPr>
      </w:pPr>
      <w:r>
        <w:rPr>
          <w:rFonts w:hint="eastAsia" w:ascii="仿宋_GB2312" w:hAnsi="仿宋_GB2312" w:eastAsia="仿宋_GB2312" w:cs="仿宋_GB2312"/>
          <w:kern w:val="28"/>
          <w:sz w:val="32"/>
          <w:szCs w:val="32"/>
        </w:rPr>
        <w:t>集中公证抽签现场按照对外发布方案确定</w:t>
      </w:r>
      <w:r>
        <w:rPr>
          <w:rFonts w:hint="eastAsia" w:ascii="仿宋_GB2312" w:hAnsi="仿宋_GB2312" w:eastAsia="仿宋_GB2312" w:cs="仿宋_GB2312"/>
          <w:kern w:val="28"/>
          <w:sz w:val="32"/>
          <w:szCs w:val="32"/>
          <w:lang w:eastAsia="zh-CN"/>
        </w:rPr>
        <w:t>单元网格</w:t>
      </w:r>
      <w:r>
        <w:rPr>
          <w:rFonts w:hint="eastAsia" w:ascii="仿宋_GB2312" w:hAnsi="仿宋_GB2312" w:eastAsia="仿宋_GB2312" w:cs="仿宋_GB2312"/>
          <w:kern w:val="28"/>
          <w:sz w:val="32"/>
          <w:szCs w:val="32"/>
        </w:rPr>
        <w:t>首次排队轮候顺序，并在完成集中公证抽签后二个工作日内公示。</w:t>
      </w:r>
    </w:p>
    <w:p w14:paraId="40F03D59">
      <w:pPr>
        <w:numPr>
          <w:ilvl w:val="0"/>
          <w:numId w:val="0"/>
        </w:numPr>
        <w:adjustRightInd w:val="0"/>
        <w:snapToGrid w:val="0"/>
        <w:spacing w:line="336" w:lineRule="auto"/>
        <w:ind w:firstLine="660" w:firstLineChars="200"/>
        <w:jc w:val="both"/>
        <w:rPr>
          <w:rFonts w:ascii="楷体" w:hAnsi="楷体" w:eastAsia="楷体" w:cs="楷体"/>
          <w:sz w:val="32"/>
          <w:szCs w:val="32"/>
        </w:rPr>
      </w:pPr>
      <w:r>
        <w:rPr>
          <w:rFonts w:hint="eastAsia" w:ascii="黑体" w:hAnsi="黑体" w:eastAsia="黑体" w:cs="黑体"/>
          <w:spacing w:val="5"/>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零售点排队轮候采取</w:t>
      </w:r>
      <w:r>
        <w:rPr>
          <w:rFonts w:hint="eastAsia" w:ascii="仿宋_GB2312" w:hAnsi="仿宋_GB2312" w:eastAsia="仿宋_GB2312" w:cs="仿宋_GB2312"/>
          <w:sz w:val="32"/>
          <w:szCs w:val="32"/>
          <w:lang w:eastAsia="zh-CN"/>
        </w:rPr>
        <w:t>单元网格</w:t>
      </w:r>
      <w:r>
        <w:rPr>
          <w:rFonts w:hint="eastAsia" w:ascii="仿宋_GB2312" w:hAnsi="仿宋_GB2312" w:eastAsia="仿宋_GB2312" w:cs="仿宋_GB2312"/>
          <w:sz w:val="32"/>
          <w:szCs w:val="32"/>
        </w:rPr>
        <w:t>管理。自愿加入排队轮候的申请人，应线上填写并提交《云南省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县烟草制品零售点排队轮候申请表》（详见附表）。申请人在填报信息时应准确、真实。</w:t>
      </w:r>
    </w:p>
    <w:p w14:paraId="3FBD797F">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系统根据申请人线上提交时间，自动生成排队轮候顺序，并由系统自动推送告知申请人单元网格内当前排队轮候顺序号。</w:t>
      </w:r>
    </w:p>
    <w:p w14:paraId="5D15790F">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发证机关应公开排队轮候情况，并接受公众监督。申请人可通过线上、线下等方式查询排队轮候情况。</w:t>
      </w:r>
    </w:p>
    <w:p w14:paraId="0CEF1E6F">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当单元网格内可新增零售点时，由发证机关按照顺序号和申请表约定的联系方式在五个工作日内依次通知申请人提交新办申请。</w:t>
      </w:r>
    </w:p>
    <w:p w14:paraId="447CEABE">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到号办理时，申请人提交的办证申请信息应与排队轮候登记信息一致。信息不一致的，申请人需重新登记排队轮候。</w:t>
      </w:r>
    </w:p>
    <w:p w14:paraId="01BD269F">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云南省新平彝族傣族自治</w:t>
      </w:r>
      <w:r>
        <w:rPr>
          <w:rFonts w:hint="eastAsia" w:ascii="仿宋_GB2312" w:hAnsi="仿宋_GB2312" w:eastAsia="仿宋_GB2312" w:cs="仿宋_GB2312"/>
          <w:sz w:val="32"/>
          <w:szCs w:val="32"/>
        </w:rPr>
        <w:t>县烟草专卖局每年年底向上一级烟草专卖局报告本年度烟草制品零售点排队轮候管理工作情况。</w:t>
      </w:r>
    </w:p>
    <w:p w14:paraId="5957A9C3">
      <w:pPr>
        <w:numPr>
          <w:ilvl w:val="0"/>
          <w:numId w:val="0"/>
        </w:numPr>
        <w:adjustRightInd w:val="0"/>
        <w:snapToGrid w:val="0"/>
        <w:spacing w:line="336" w:lineRule="auto"/>
        <w:ind w:firstLine="660" w:firstLineChars="200"/>
        <w:jc w:val="both"/>
        <w:rPr>
          <w:rFonts w:ascii="黑体" w:hAnsi="黑体" w:eastAsia="黑体" w:cs="黑体"/>
          <w:sz w:val="32"/>
          <w:szCs w:val="32"/>
        </w:rPr>
      </w:pPr>
      <w:r>
        <w:rPr>
          <w:rFonts w:hint="eastAsia" w:ascii="黑体" w:hAnsi="黑体" w:eastAsia="黑体" w:cs="黑体"/>
          <w:spacing w:val="5"/>
          <w:sz w:val="32"/>
          <w:szCs w:val="32"/>
          <w:lang w:val="en-US" w:eastAsia="zh-CN"/>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发证机关接收和办理排队轮候业务，不得收取任何费用。</w:t>
      </w:r>
    </w:p>
    <w:p w14:paraId="4FC318DE">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06E0BDFF">
      <w:pPr>
        <w:numPr>
          <w:ilvl w:val="0"/>
          <w:numId w:val="0"/>
        </w:numPr>
        <w:adjustRightInd w:val="0"/>
        <w:snapToGrid w:val="0"/>
        <w:spacing w:line="336" w:lineRule="auto"/>
        <w:ind w:firstLine="660" w:firstLineChars="200"/>
        <w:jc w:val="both"/>
        <w:rPr>
          <w:rFonts w:ascii="仿宋_GB2312" w:hAnsi="仿宋_GB2312" w:eastAsia="仿宋_GB2312" w:cs="仿宋_GB2312"/>
          <w:sz w:val="32"/>
          <w:szCs w:val="32"/>
        </w:rPr>
      </w:pPr>
      <w:r>
        <w:rPr>
          <w:rFonts w:hint="eastAsia" w:ascii="黑体" w:hAnsi="黑体" w:eastAsia="黑体" w:cs="黑体"/>
          <w:spacing w:val="5"/>
          <w:sz w:val="32"/>
          <w:szCs w:val="32"/>
          <w:lang w:val="en-US"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本制度由云南省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县烟草专卖局负责解释。</w:t>
      </w:r>
    </w:p>
    <w:p w14:paraId="7AFE3786">
      <w:pPr>
        <w:numPr>
          <w:ilvl w:val="0"/>
          <w:numId w:val="0"/>
        </w:numPr>
        <w:adjustRightInd w:val="0"/>
        <w:snapToGrid w:val="0"/>
        <w:spacing w:line="336" w:lineRule="auto"/>
        <w:ind w:firstLine="660" w:firstLineChars="200"/>
        <w:jc w:val="both"/>
        <w:rPr>
          <w:rFonts w:ascii="楷体" w:hAnsi="楷体" w:eastAsia="楷体" w:cs="楷体"/>
          <w:sz w:val="32"/>
          <w:szCs w:val="32"/>
        </w:rPr>
      </w:pPr>
      <w:r>
        <w:rPr>
          <w:rFonts w:hint="eastAsia" w:ascii="黑体" w:hAnsi="黑体" w:eastAsia="黑体" w:cs="黑体"/>
          <w:spacing w:val="5"/>
          <w:sz w:val="32"/>
          <w:szCs w:val="32"/>
          <w:lang w:val="en-US" w:eastAsia="zh-CN"/>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本制度自《云南省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县烟草制品零售点合理布局规划》实施之日起同时施行。</w:t>
      </w:r>
    </w:p>
    <w:p w14:paraId="3888B4DD">
      <w:pPr>
        <w:adjustRightInd w:val="0"/>
        <w:snapToGrid w:val="0"/>
        <w:spacing w:line="336" w:lineRule="auto"/>
        <w:ind w:left="402"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附表：云南省</w:t>
      </w:r>
      <w:r>
        <w:rPr>
          <w:rFonts w:hint="eastAsia" w:ascii="仿宋_GB2312" w:hAnsi="仿宋_GB2312" w:eastAsia="仿宋_GB2312" w:cs="仿宋_GB2312"/>
          <w:sz w:val="32"/>
          <w:szCs w:val="32"/>
          <w:lang w:val="en-US" w:eastAsia="zh-Hans"/>
        </w:rPr>
        <w:t>新平彝族傣族自治</w:t>
      </w:r>
      <w:r>
        <w:rPr>
          <w:rFonts w:hint="eastAsia" w:ascii="仿宋_GB2312" w:hAnsi="仿宋_GB2312" w:eastAsia="仿宋_GB2312" w:cs="仿宋_GB2312"/>
          <w:sz w:val="32"/>
          <w:szCs w:val="32"/>
        </w:rPr>
        <w:t>县烟草制品零售点排队轮候申请表</w:t>
      </w:r>
    </w:p>
    <w:p w14:paraId="493FD6B7">
      <w:pPr>
        <w:adjustRightInd w:val="0"/>
        <w:snapToGrid w:val="0"/>
        <w:spacing w:line="336" w:lineRule="auto"/>
        <w:ind w:left="402" w:firstLine="640" w:firstLineChars="200"/>
        <w:jc w:val="both"/>
        <w:rPr>
          <w:rFonts w:hint="eastAsia" w:ascii="仿宋_GB2312" w:hAnsi="仿宋_GB2312" w:eastAsia="仿宋_GB2312" w:cs="仿宋_GB2312"/>
          <w:sz w:val="32"/>
          <w:szCs w:val="32"/>
        </w:rPr>
      </w:pPr>
    </w:p>
    <w:p w14:paraId="67405A36">
      <w:pPr>
        <w:adjustRightInd w:val="0"/>
        <w:snapToGrid w:val="0"/>
        <w:spacing w:line="336" w:lineRule="auto"/>
        <w:ind w:left="402" w:firstLine="640" w:firstLineChars="200"/>
        <w:jc w:val="both"/>
        <w:rPr>
          <w:rFonts w:hint="eastAsia" w:ascii="仿宋_GB2312" w:hAnsi="仿宋_GB2312" w:eastAsia="仿宋_GB2312" w:cs="仿宋_GB2312"/>
          <w:sz w:val="32"/>
          <w:szCs w:val="32"/>
        </w:rPr>
      </w:pPr>
    </w:p>
    <w:p w14:paraId="4A5EFDC9">
      <w:pPr>
        <w:spacing w:line="360" w:lineRule="auto"/>
        <w:rPr>
          <w:rFonts w:hint="eastAsia" w:ascii="黑体" w:hAnsi="黑体" w:eastAsia="黑体" w:cs="黑体"/>
          <w:sz w:val="32"/>
          <w:szCs w:val="32"/>
        </w:rPr>
      </w:pPr>
    </w:p>
    <w:p w14:paraId="32C55883">
      <w:pPr>
        <w:spacing w:line="360" w:lineRule="auto"/>
        <w:rPr>
          <w:rFonts w:ascii="黑体" w:hAnsi="黑体" w:eastAsia="黑体" w:cs="黑体"/>
          <w:sz w:val="44"/>
          <w:szCs w:val="44"/>
        </w:rPr>
      </w:pPr>
      <w:r>
        <w:rPr>
          <w:rFonts w:hint="eastAsia" w:ascii="黑体" w:hAnsi="黑体" w:eastAsia="黑体" w:cs="黑体"/>
          <w:sz w:val="32"/>
          <w:szCs w:val="32"/>
        </w:rPr>
        <w:t>附表</w:t>
      </w:r>
    </w:p>
    <w:p w14:paraId="16EB06B4">
      <w:pPr>
        <w:keepNext w:val="0"/>
        <w:keepLines w:val="0"/>
        <w:pageBreakBefore w:val="0"/>
        <w:widowControl/>
        <w:kinsoku w:val="0"/>
        <w:wordWrap/>
        <w:overflowPunct/>
        <w:topLinePunct w:val="0"/>
        <w:autoSpaceDE w:val="0"/>
        <w:autoSpaceDN w:val="0"/>
        <w:bidi w:val="0"/>
        <w:adjustRightInd w:val="0"/>
        <w:snapToGrid w:val="0"/>
        <w:spacing w:line="600" w:lineRule="exact"/>
        <w:ind w:left="403"/>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w:t>
      </w:r>
      <w:r>
        <w:rPr>
          <w:rFonts w:hint="eastAsia" w:ascii="方正小标宋简体" w:hAnsi="方正小标宋简体" w:eastAsia="方正小标宋简体" w:cs="方正小标宋简体"/>
          <w:sz w:val="44"/>
          <w:szCs w:val="44"/>
          <w:lang w:val="en-US" w:eastAsia="zh-Hans"/>
        </w:rPr>
        <w:t>新平彝族傣族自治</w:t>
      </w:r>
      <w:r>
        <w:rPr>
          <w:rFonts w:hint="eastAsia" w:ascii="方正小标宋简体" w:hAnsi="方正小标宋简体" w:eastAsia="方正小标宋简体" w:cs="方正小标宋简体"/>
          <w:sz w:val="44"/>
          <w:szCs w:val="44"/>
        </w:rPr>
        <w:t>县烟草制品零售点排队轮候申请表</w:t>
      </w:r>
    </w:p>
    <w:tbl>
      <w:tblPr>
        <w:tblStyle w:val="9"/>
        <w:tblW w:w="0" w:type="auto"/>
        <w:jc w:val="center"/>
        <w:tblLayout w:type="fixed"/>
        <w:tblCellMar>
          <w:top w:w="0" w:type="dxa"/>
          <w:left w:w="108" w:type="dxa"/>
          <w:bottom w:w="0" w:type="dxa"/>
          <w:right w:w="108" w:type="dxa"/>
        </w:tblCellMar>
      </w:tblPr>
      <w:tblGrid>
        <w:gridCol w:w="2422"/>
        <w:gridCol w:w="2283"/>
        <w:gridCol w:w="1543"/>
        <w:gridCol w:w="2178"/>
      </w:tblGrid>
      <w:tr w14:paraId="211EBF3B">
        <w:tblPrEx>
          <w:tblCellMar>
            <w:top w:w="0" w:type="dxa"/>
            <w:left w:w="108" w:type="dxa"/>
            <w:bottom w:w="0" w:type="dxa"/>
            <w:right w:w="108" w:type="dxa"/>
          </w:tblCellMar>
        </w:tblPrEx>
        <w:trPr>
          <w:trHeight w:val="464" w:hRule="atLeast"/>
          <w:jc w:val="center"/>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5104B">
            <w:pPr>
              <w:widowControl/>
              <w:jc w:val="center"/>
              <w:textAlignment w:val="center"/>
              <w:rPr>
                <w:rFonts w:ascii="宋体" w:hAnsi="宋体" w:cs="宋体"/>
                <w:b/>
                <w:bCs/>
                <w:sz w:val="24"/>
              </w:rPr>
            </w:pPr>
            <w:r>
              <w:rPr>
                <w:rFonts w:hint="eastAsia" w:ascii="宋体" w:hAnsi="宋体" w:cs="宋体"/>
                <w:b/>
                <w:bCs/>
                <w:kern w:val="0"/>
                <w:sz w:val="24"/>
                <w:lang w:bidi="ar"/>
              </w:rPr>
              <w:t>申请人基本信息</w:t>
            </w:r>
          </w:p>
        </w:tc>
      </w:tr>
      <w:tr w14:paraId="0D052D7A">
        <w:tblPrEx>
          <w:tblCellMar>
            <w:top w:w="0" w:type="dxa"/>
            <w:left w:w="108" w:type="dxa"/>
            <w:bottom w:w="0" w:type="dxa"/>
            <w:right w:w="108" w:type="dxa"/>
          </w:tblCellMar>
        </w:tblPrEx>
        <w:trPr>
          <w:trHeight w:val="559"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4F4F3">
            <w:pPr>
              <w:widowControl/>
              <w:jc w:val="center"/>
              <w:textAlignment w:val="center"/>
              <w:rPr>
                <w:rFonts w:ascii="宋体" w:hAnsi="宋体" w:cs="宋体"/>
                <w:sz w:val="24"/>
              </w:rPr>
            </w:pPr>
            <w:r>
              <w:rPr>
                <w:rFonts w:hint="eastAsia" w:ascii="宋体" w:hAnsi="宋体" w:cs="宋体"/>
                <w:kern w:val="0"/>
                <w:sz w:val="24"/>
                <w:lang w:bidi="ar"/>
              </w:rPr>
              <w:t>申请人姓名</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85A15">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E70EC">
            <w:pPr>
              <w:widowControl/>
              <w:jc w:val="center"/>
              <w:textAlignment w:val="center"/>
              <w:rPr>
                <w:rFonts w:ascii="宋体" w:hAnsi="宋体" w:cs="宋体"/>
                <w:sz w:val="24"/>
              </w:rPr>
            </w:pPr>
            <w:r>
              <w:rPr>
                <w:rFonts w:hint="eastAsia" w:ascii="宋体" w:hAnsi="宋体" w:cs="宋体"/>
                <w:kern w:val="0"/>
                <w:sz w:val="24"/>
                <w:lang w:bidi="ar"/>
              </w:rPr>
              <w:t>申请日期</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AC3EC">
            <w:pPr>
              <w:jc w:val="center"/>
              <w:rPr>
                <w:rFonts w:ascii="宋体" w:hAnsi="宋体" w:cs="宋体"/>
                <w:sz w:val="24"/>
              </w:rPr>
            </w:pPr>
          </w:p>
        </w:tc>
      </w:tr>
      <w:tr w14:paraId="2E3B44E0">
        <w:tblPrEx>
          <w:tblCellMar>
            <w:top w:w="0" w:type="dxa"/>
            <w:left w:w="108" w:type="dxa"/>
            <w:bottom w:w="0" w:type="dxa"/>
            <w:right w:w="108" w:type="dxa"/>
          </w:tblCellMar>
        </w:tblPrEx>
        <w:trPr>
          <w:trHeight w:val="559"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6B4A8">
            <w:pPr>
              <w:widowControl/>
              <w:jc w:val="center"/>
              <w:textAlignment w:val="center"/>
              <w:rPr>
                <w:rFonts w:ascii="宋体" w:hAnsi="宋体" w:cs="宋体"/>
                <w:sz w:val="24"/>
              </w:rPr>
            </w:pPr>
            <w:r>
              <w:rPr>
                <w:rFonts w:hint="eastAsia" w:ascii="宋体" w:hAnsi="宋体" w:cs="宋体"/>
                <w:kern w:val="0"/>
                <w:sz w:val="24"/>
                <w:lang w:bidi="ar"/>
              </w:rPr>
              <w:t>身份证号码</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5F6F7">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B18FB">
            <w:pPr>
              <w:widowControl/>
              <w:jc w:val="center"/>
              <w:textAlignment w:val="center"/>
              <w:rPr>
                <w:rFonts w:ascii="宋体" w:hAnsi="宋体" w:cs="宋体"/>
                <w:sz w:val="24"/>
              </w:rPr>
            </w:pPr>
            <w:r>
              <w:rPr>
                <w:rFonts w:hint="eastAsia" w:ascii="宋体" w:hAnsi="宋体" w:cs="宋体"/>
                <w:kern w:val="0"/>
                <w:sz w:val="24"/>
                <w:lang w:bidi="ar"/>
              </w:rPr>
              <w:t>联系电话</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8C9F5">
            <w:pPr>
              <w:jc w:val="center"/>
              <w:rPr>
                <w:rFonts w:ascii="宋体" w:hAnsi="宋体" w:cs="宋体"/>
                <w:sz w:val="24"/>
              </w:rPr>
            </w:pPr>
          </w:p>
        </w:tc>
      </w:tr>
      <w:tr w14:paraId="3BC96F4E">
        <w:tblPrEx>
          <w:tblCellMar>
            <w:top w:w="0" w:type="dxa"/>
            <w:left w:w="108" w:type="dxa"/>
            <w:bottom w:w="0" w:type="dxa"/>
            <w:right w:w="108" w:type="dxa"/>
          </w:tblCellMar>
        </w:tblPrEx>
        <w:trPr>
          <w:trHeight w:val="559"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B969E">
            <w:pPr>
              <w:widowControl/>
              <w:jc w:val="center"/>
              <w:textAlignment w:val="center"/>
              <w:rPr>
                <w:rFonts w:ascii="宋体" w:hAnsi="宋体" w:cs="宋体"/>
                <w:sz w:val="24"/>
              </w:rPr>
            </w:pPr>
            <w:r>
              <w:rPr>
                <w:rFonts w:hint="eastAsia" w:ascii="宋体" w:hAnsi="宋体" w:cs="宋体"/>
                <w:kern w:val="0"/>
                <w:sz w:val="24"/>
                <w:lang w:bidi="ar"/>
              </w:rPr>
              <w:t>归属街道</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C9017">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7D850">
            <w:pPr>
              <w:widowControl/>
              <w:jc w:val="center"/>
              <w:textAlignment w:val="center"/>
              <w:rPr>
                <w:rFonts w:ascii="宋体" w:hAnsi="宋体" w:cs="宋体"/>
                <w:sz w:val="24"/>
              </w:rPr>
            </w:pPr>
            <w:r>
              <w:rPr>
                <w:rFonts w:hint="eastAsia" w:ascii="宋体" w:hAnsi="宋体" w:cs="宋体"/>
                <w:kern w:val="0"/>
                <w:sz w:val="24"/>
                <w:lang w:bidi="ar"/>
              </w:rPr>
              <w:t>归属网格</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8FFA4">
            <w:pPr>
              <w:jc w:val="center"/>
              <w:rPr>
                <w:rFonts w:ascii="宋体" w:hAnsi="宋体" w:cs="宋体"/>
                <w:sz w:val="24"/>
              </w:rPr>
            </w:pPr>
          </w:p>
        </w:tc>
      </w:tr>
      <w:tr w14:paraId="6FD7F733">
        <w:tblPrEx>
          <w:tblCellMar>
            <w:top w:w="0" w:type="dxa"/>
            <w:left w:w="108" w:type="dxa"/>
            <w:bottom w:w="0" w:type="dxa"/>
            <w:right w:w="108" w:type="dxa"/>
          </w:tblCellMar>
        </w:tblPrEx>
        <w:trPr>
          <w:trHeight w:val="495"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2CD7B">
            <w:pPr>
              <w:widowControl/>
              <w:jc w:val="center"/>
              <w:textAlignment w:val="center"/>
              <w:rPr>
                <w:rFonts w:ascii="宋体" w:hAnsi="宋体" w:cs="宋体"/>
                <w:sz w:val="24"/>
              </w:rPr>
            </w:pPr>
            <w:r>
              <w:rPr>
                <w:rFonts w:hint="eastAsia" w:ascii="宋体" w:hAnsi="宋体" w:cs="宋体"/>
                <w:kern w:val="0"/>
                <w:sz w:val="24"/>
                <w:lang w:bidi="ar"/>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474DB">
            <w:pPr>
              <w:jc w:val="center"/>
              <w:rPr>
                <w:rFonts w:ascii="宋体" w:hAnsi="宋体" w:cs="宋体"/>
                <w:sz w:val="24"/>
              </w:rPr>
            </w:pPr>
          </w:p>
        </w:tc>
      </w:tr>
      <w:tr w14:paraId="5C71A964">
        <w:tblPrEx>
          <w:tblCellMar>
            <w:top w:w="0" w:type="dxa"/>
            <w:left w:w="108" w:type="dxa"/>
            <w:bottom w:w="0" w:type="dxa"/>
            <w:right w:w="108" w:type="dxa"/>
          </w:tblCellMar>
        </w:tblPrEx>
        <w:trPr>
          <w:trHeight w:val="495" w:hRule="atLeast"/>
          <w:jc w:val="center"/>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36C42">
            <w:pPr>
              <w:widowControl/>
              <w:jc w:val="center"/>
              <w:textAlignment w:val="center"/>
              <w:rPr>
                <w:rFonts w:ascii="宋体" w:hAnsi="宋体" w:cs="宋体"/>
                <w:b/>
                <w:bCs/>
                <w:sz w:val="24"/>
              </w:rPr>
            </w:pPr>
            <w:r>
              <w:rPr>
                <w:rFonts w:hint="eastAsia" w:ascii="宋体" w:hAnsi="宋体" w:cs="宋体"/>
                <w:b/>
                <w:bCs/>
                <w:kern w:val="0"/>
                <w:sz w:val="24"/>
                <w:lang w:bidi="ar"/>
              </w:rPr>
              <w:t>营业执照基本信息</w:t>
            </w:r>
          </w:p>
        </w:tc>
      </w:tr>
      <w:tr w14:paraId="53A6FDF6">
        <w:tblPrEx>
          <w:tblCellMar>
            <w:top w:w="0" w:type="dxa"/>
            <w:left w:w="108" w:type="dxa"/>
            <w:bottom w:w="0" w:type="dxa"/>
            <w:right w:w="108" w:type="dxa"/>
          </w:tblCellMar>
        </w:tblPrEx>
        <w:trPr>
          <w:trHeight w:val="495"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4EBF6">
            <w:pPr>
              <w:widowControl/>
              <w:jc w:val="center"/>
              <w:textAlignment w:val="center"/>
              <w:rPr>
                <w:rFonts w:ascii="宋体" w:hAnsi="宋体" w:cs="宋体"/>
                <w:sz w:val="24"/>
              </w:rPr>
            </w:pPr>
            <w:r>
              <w:rPr>
                <w:rFonts w:hint="eastAsia" w:ascii="宋体" w:hAnsi="宋体" w:cs="宋体"/>
                <w:kern w:val="0"/>
                <w:sz w:val="24"/>
                <w:lang w:bidi="ar"/>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0C585">
            <w:pPr>
              <w:jc w:val="center"/>
              <w:rPr>
                <w:rFonts w:ascii="宋体" w:hAnsi="宋体" w:cs="宋体"/>
                <w:sz w:val="24"/>
              </w:rPr>
            </w:pPr>
          </w:p>
        </w:tc>
      </w:tr>
      <w:tr w14:paraId="78CA256B">
        <w:tblPrEx>
          <w:tblCellMar>
            <w:top w:w="0" w:type="dxa"/>
            <w:left w:w="108" w:type="dxa"/>
            <w:bottom w:w="0" w:type="dxa"/>
            <w:right w:w="108" w:type="dxa"/>
          </w:tblCellMar>
        </w:tblPrEx>
        <w:trPr>
          <w:trHeight w:val="495"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64337">
            <w:pPr>
              <w:widowControl/>
              <w:jc w:val="center"/>
              <w:textAlignment w:val="center"/>
              <w:rPr>
                <w:rFonts w:ascii="宋体" w:hAnsi="宋体" w:cs="宋体"/>
                <w:sz w:val="24"/>
              </w:rPr>
            </w:pPr>
            <w:r>
              <w:rPr>
                <w:rFonts w:hint="eastAsia" w:ascii="宋体" w:hAnsi="宋体" w:cs="宋体"/>
                <w:kern w:val="0"/>
                <w:sz w:val="24"/>
                <w:lang w:bidi="ar"/>
              </w:rPr>
              <w:t>企业名称</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27607">
            <w:pPr>
              <w:jc w:val="center"/>
              <w:rPr>
                <w:rFonts w:ascii="宋体" w:hAnsi="宋体" w:cs="宋体"/>
                <w:sz w:val="24"/>
              </w:rPr>
            </w:pPr>
          </w:p>
        </w:tc>
      </w:tr>
      <w:tr w14:paraId="19CF3FB1">
        <w:tblPrEx>
          <w:tblCellMar>
            <w:top w:w="0" w:type="dxa"/>
            <w:left w:w="108" w:type="dxa"/>
            <w:bottom w:w="0" w:type="dxa"/>
            <w:right w:w="108" w:type="dxa"/>
          </w:tblCellMar>
        </w:tblPrEx>
        <w:trPr>
          <w:trHeight w:val="495"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737F7">
            <w:pPr>
              <w:widowControl/>
              <w:jc w:val="center"/>
              <w:textAlignment w:val="center"/>
              <w:rPr>
                <w:rFonts w:ascii="宋体" w:hAnsi="宋体" w:cs="宋体"/>
                <w:sz w:val="24"/>
              </w:rPr>
            </w:pPr>
            <w:r>
              <w:rPr>
                <w:rFonts w:hint="eastAsia" w:ascii="宋体" w:hAnsi="宋体" w:cs="宋体"/>
                <w:kern w:val="0"/>
                <w:sz w:val="24"/>
                <w:lang w:bidi="ar"/>
              </w:rPr>
              <w:t>企业类型</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89C78">
            <w:pPr>
              <w:jc w:val="center"/>
              <w:rPr>
                <w:rFonts w:ascii="宋体" w:hAnsi="宋体" w:cs="宋体"/>
                <w:sz w:val="24"/>
              </w:rPr>
            </w:pPr>
          </w:p>
        </w:tc>
      </w:tr>
      <w:tr w14:paraId="035DC3FE">
        <w:tblPrEx>
          <w:tblCellMar>
            <w:top w:w="0" w:type="dxa"/>
            <w:left w:w="108" w:type="dxa"/>
            <w:bottom w:w="0" w:type="dxa"/>
            <w:right w:w="108" w:type="dxa"/>
          </w:tblCellMar>
        </w:tblPrEx>
        <w:trPr>
          <w:trHeight w:val="495"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C3365">
            <w:pPr>
              <w:widowControl/>
              <w:jc w:val="center"/>
              <w:textAlignment w:val="center"/>
              <w:rPr>
                <w:rFonts w:ascii="宋体" w:hAnsi="宋体" w:cs="宋体"/>
                <w:sz w:val="24"/>
              </w:rPr>
            </w:pPr>
            <w:r>
              <w:rPr>
                <w:rFonts w:hint="eastAsia" w:ascii="宋体" w:hAnsi="宋体" w:cs="宋体"/>
                <w:kern w:val="0"/>
                <w:sz w:val="24"/>
                <w:lang w:bidi="ar"/>
              </w:rPr>
              <w:t>经营地址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B752D">
            <w:pPr>
              <w:jc w:val="center"/>
              <w:rPr>
                <w:rFonts w:ascii="宋体" w:hAnsi="宋体" w:cs="宋体"/>
                <w:sz w:val="24"/>
              </w:rPr>
            </w:pPr>
          </w:p>
        </w:tc>
      </w:tr>
      <w:tr w14:paraId="29C22F87">
        <w:tblPrEx>
          <w:tblCellMar>
            <w:top w:w="0" w:type="dxa"/>
            <w:left w:w="108" w:type="dxa"/>
            <w:bottom w:w="0" w:type="dxa"/>
            <w:right w:w="108" w:type="dxa"/>
          </w:tblCellMar>
        </w:tblPrEx>
        <w:trPr>
          <w:trHeight w:val="4348" w:hRule="atLeast"/>
          <w:jc w:val="center"/>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BF1D982">
            <w:pPr>
              <w:widowControl/>
              <w:jc w:val="left"/>
              <w:textAlignment w:val="center"/>
              <w:rPr>
                <w:rStyle w:val="13"/>
                <w:rFonts w:hint="default"/>
                <w:color w:val="auto"/>
                <w:lang w:bidi="ar"/>
              </w:rPr>
            </w:pPr>
            <w:r>
              <w:rPr>
                <w:rStyle w:val="13"/>
                <w:rFonts w:hint="default"/>
                <w:color w:val="auto"/>
                <w:lang w:bidi="ar"/>
              </w:rPr>
              <w:t>申请人承诺：</w:t>
            </w:r>
          </w:p>
          <w:p w14:paraId="4C3D6AAB">
            <w:pPr>
              <w:widowControl/>
              <w:ind w:firstLine="480" w:firstLineChars="200"/>
              <w:jc w:val="left"/>
              <w:textAlignment w:val="center"/>
              <w:rPr>
                <w:rStyle w:val="13"/>
                <w:rFonts w:hint="default"/>
                <w:b w:val="0"/>
                <w:bCs w:val="0"/>
                <w:color w:val="auto"/>
                <w:lang w:bidi="ar"/>
              </w:rPr>
            </w:pPr>
            <w:r>
              <w:rPr>
                <w:rStyle w:val="13"/>
                <w:rFonts w:hint="default"/>
                <w:b w:val="0"/>
                <w:bCs w:val="0"/>
                <w:color w:val="auto"/>
                <w:lang w:bidi="ar"/>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14:paraId="65B3C17B">
            <w:pPr>
              <w:widowControl/>
              <w:ind w:firstLine="480" w:firstLineChars="200"/>
              <w:jc w:val="left"/>
              <w:textAlignment w:val="center"/>
              <w:rPr>
                <w:rStyle w:val="13"/>
                <w:rFonts w:hint="default"/>
                <w:b w:val="0"/>
                <w:bCs w:val="0"/>
                <w:color w:val="auto"/>
                <w:lang w:bidi="ar"/>
              </w:rPr>
            </w:pPr>
            <w:r>
              <w:rPr>
                <w:rStyle w:val="13"/>
                <w:rFonts w:hint="default"/>
                <w:b w:val="0"/>
                <w:bCs w:val="0"/>
                <w:color w:val="auto"/>
                <w:lang w:bidi="ar"/>
              </w:rPr>
              <w:t>2.申请人所提交的预登记信息确保与到号办理时提交的办证信息一致，若不一致的，申请人应重新登记轮候；</w:t>
            </w:r>
          </w:p>
          <w:p w14:paraId="342706C1">
            <w:pPr>
              <w:widowControl/>
              <w:ind w:firstLine="480" w:firstLineChars="200"/>
              <w:jc w:val="left"/>
              <w:textAlignment w:val="center"/>
              <w:rPr>
                <w:rStyle w:val="13"/>
                <w:rFonts w:hint="default"/>
                <w:b w:val="0"/>
                <w:bCs w:val="0"/>
                <w:color w:val="auto"/>
                <w:lang w:bidi="ar"/>
              </w:rPr>
            </w:pPr>
            <w:r>
              <w:rPr>
                <w:rStyle w:val="13"/>
                <w:rFonts w:hint="default"/>
                <w:b w:val="0"/>
                <w:bCs w:val="0"/>
                <w:color w:val="auto"/>
                <w:lang w:bidi="ar"/>
              </w:rPr>
              <w: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14:paraId="4DA3E208">
            <w:pPr>
              <w:widowControl/>
              <w:ind w:firstLine="482" w:firstLineChars="200"/>
              <w:jc w:val="left"/>
              <w:textAlignment w:val="center"/>
              <w:rPr>
                <w:rFonts w:ascii="宋体" w:hAnsi="宋体" w:cs="宋体"/>
                <w:b/>
                <w:bCs/>
                <w:sz w:val="24"/>
              </w:rPr>
            </w:pPr>
            <w:r>
              <w:rPr>
                <w:rStyle w:val="13"/>
                <w:rFonts w:hint="default"/>
                <w:color w:val="auto"/>
                <w:lang w:bidi="ar"/>
              </w:rPr>
              <w:t>申请人或代理人（签名或印章）：</w:t>
            </w:r>
            <w:r>
              <w:rPr>
                <w:rStyle w:val="14"/>
                <w:rFonts w:hint="default"/>
                <w:color w:val="auto"/>
                <w:lang w:bidi="ar"/>
              </w:rPr>
              <w:t xml:space="preserve">      </w:t>
            </w:r>
            <w:r>
              <w:rPr>
                <w:rStyle w:val="14"/>
                <w:rFonts w:hint="default" w:ascii="宋体"/>
                <w:color w:val="auto"/>
                <w:lang w:bidi="ar"/>
              </w:rPr>
              <w:t xml:space="preserve">   </w:t>
            </w:r>
            <w:r>
              <w:rPr>
                <w:rStyle w:val="14"/>
                <w:rFonts w:hint="eastAsia" w:ascii="宋体" w:eastAsia="宋体"/>
                <w:color w:val="auto"/>
                <w:lang w:val="en-US" w:eastAsia="zh-CN" w:bidi="ar"/>
              </w:rPr>
              <w:t xml:space="preserve">                  </w:t>
            </w:r>
            <w:r>
              <w:rPr>
                <w:rStyle w:val="14"/>
                <w:rFonts w:hint="default" w:ascii="宋体"/>
                <w:color w:val="auto"/>
                <w:lang w:bidi="ar"/>
              </w:rPr>
              <w:t xml:space="preserve"> </w:t>
            </w:r>
            <w:r>
              <w:rPr>
                <w:rStyle w:val="14"/>
                <w:rFonts w:hint="eastAsia" w:ascii="宋体" w:eastAsia="宋体"/>
                <w:color w:val="auto"/>
                <w:lang w:val="en-US" w:eastAsia="zh-CN" w:bidi="ar"/>
              </w:rPr>
              <w:t xml:space="preserve">          </w:t>
            </w:r>
            <w:r>
              <w:rPr>
                <w:rStyle w:val="14"/>
                <w:rFonts w:hint="default" w:ascii="宋体"/>
                <w:color w:val="auto"/>
                <w:lang w:bidi="ar"/>
              </w:rPr>
              <w:t xml:space="preserve"> </w:t>
            </w:r>
            <w:r>
              <w:rPr>
                <w:rStyle w:val="14"/>
                <w:rFonts w:hint="default"/>
                <w:color w:val="auto"/>
                <w:lang w:bidi="ar"/>
              </w:rPr>
              <w:t xml:space="preserve">  </w:t>
            </w:r>
            <w:r>
              <w:rPr>
                <w:rStyle w:val="13"/>
                <w:rFonts w:hint="default"/>
                <w:color w:val="auto"/>
                <w:lang w:bidi="ar"/>
              </w:rPr>
              <w:t xml:space="preserve">                                                                         </w:t>
            </w:r>
          </w:p>
        </w:tc>
      </w:tr>
      <w:tr w14:paraId="60652BF6">
        <w:tblPrEx>
          <w:tblCellMar>
            <w:top w:w="0" w:type="dxa"/>
            <w:left w:w="108" w:type="dxa"/>
            <w:bottom w:w="0" w:type="dxa"/>
            <w:right w:w="108" w:type="dxa"/>
          </w:tblCellMar>
        </w:tblPrEx>
        <w:trPr>
          <w:trHeight w:val="641" w:hRule="atLeast"/>
          <w:jc w:val="center"/>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CC339">
            <w:pPr>
              <w:widowControl/>
              <w:jc w:val="center"/>
              <w:textAlignment w:val="center"/>
              <w:rPr>
                <w:rFonts w:ascii="宋体" w:hAnsi="宋体" w:cs="宋体"/>
                <w:b/>
                <w:bCs/>
                <w:sz w:val="24"/>
              </w:rPr>
            </w:pPr>
            <w:r>
              <w:rPr>
                <w:rFonts w:hint="eastAsia" w:ascii="宋体" w:hAnsi="宋体" w:cs="宋体"/>
                <w:b/>
                <w:bCs/>
                <w:kern w:val="0"/>
                <w:sz w:val="24"/>
                <w:lang w:bidi="ar"/>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919C6B">
            <w:pPr>
              <w:jc w:val="center"/>
              <w:rPr>
                <w:rFonts w:ascii="宋体" w:hAnsi="宋体" w:cs="宋体"/>
                <w:b/>
                <w:bCs/>
                <w:sz w:val="24"/>
              </w:rPr>
            </w:pPr>
          </w:p>
        </w:tc>
      </w:tr>
    </w:tbl>
    <w:p w14:paraId="7501BEEE">
      <w:pPr>
        <w:keepNext w:val="0"/>
        <w:keepLines w:val="0"/>
        <w:pageBreakBefore w:val="0"/>
        <w:widowControl w:val="0"/>
        <w:kinsoku/>
        <w:wordWrap/>
        <w:overflowPunct/>
        <w:topLinePunct w:val="0"/>
        <w:autoSpaceDE/>
        <w:autoSpaceDN/>
        <w:bidi w:val="0"/>
        <w:adjustRightInd w:val="0"/>
        <w:snapToGrid/>
        <w:spacing w:line="336" w:lineRule="auto"/>
        <w:jc w:val="both"/>
        <w:textAlignment w:val="auto"/>
        <w:rPr>
          <w:rFonts w:hint="eastAsia" w:ascii="仿宋_GB2312" w:hAnsi="Times New Roman" w:eastAsia="仿宋_GB2312" w:cs="Times New Roman"/>
          <w:snapToGrid/>
          <w:kern w:val="2"/>
          <w:sz w:val="32"/>
          <w:szCs w:val="32"/>
          <w:lang w:eastAsia="zh-CN"/>
        </w:rPr>
      </w:pPr>
    </w:p>
    <w:sectPr>
      <w:footerReference r:id="rId14" w:type="default"/>
      <w:pgSz w:w="11906" w:h="16838"/>
      <w:pgMar w:top="2098" w:right="1531" w:bottom="1984" w:left="1531" w:header="851" w:footer="992" w:gutter="0"/>
      <w:pgNumType w:fmt="numberInDash"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panose1 w:val="020B0603030804020204"/>
    <w:charset w:val="00"/>
    <w:family w:val="auto"/>
    <w:pitch w:val="default"/>
    <w:sig w:usb0="E7006EFF" w:usb1="D200FDFF" w:usb2="0A246029" w:usb3="0400200C" w:csb0="600001FF" w:csb1="DFFF0000"/>
  </w:font>
  <w:font w:name="等线">
    <w:panose1 w:val="02010600030101010101"/>
    <w:charset w:val="86"/>
    <w:family w:val="auto"/>
    <w:pitch w:val="default"/>
    <w:sig w:usb0="A00002BF" w:usb1="38CF7CFA" w:usb2="00000016" w:usb3="00000000" w:csb0="0004000F" w:csb1="00000000"/>
  </w:font>
  <w:font w:name="方正仿宋">
    <w:altName w:val="方正仿宋_GBK"/>
    <w:panose1 w:val="03000509000000000000"/>
    <w:charset w:val="86"/>
    <w:family w:val="script"/>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2F437">
    <w:pPr>
      <w:pStyle w:val="4"/>
      <w:spacing w:line="14" w:lineRule="auto"/>
      <w:rPr>
        <w:rFonts w:hint="default"/>
        <w:sz w:val="2"/>
        <w:lang w:val="en-US"/>
      </w:rPr>
    </w:pPr>
    <w:r>
      <w:rPr>
        <w:sz w:val="2"/>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52F45">
                          <w:pPr>
                            <w:pStyle w:val="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652F45">
                    <w:pPr>
                      <w:pStyle w:val="5"/>
                    </w:pPr>
                    <w:r>
                      <w:fldChar w:fldCharType="begin"/>
                    </w:r>
                    <w:r>
                      <w:instrText xml:space="preserve"> PAGE  \* MERGEFORMAT </w:instrText>
                    </w:r>
                    <w:r>
                      <w:fldChar w:fldCharType="separate"/>
                    </w:r>
                    <w:r>
                      <w:t>- 2 -</w:t>
                    </w:r>
                    <w:r>
                      <w:fldChar w:fldCharType="end"/>
                    </w:r>
                  </w:p>
                </w:txbxContent>
              </v:textbox>
            </v:shape>
          </w:pict>
        </mc:Fallback>
      </mc:AlternateContent>
    </w:r>
    <w:r>
      <w:rPr>
        <w:rFonts w:hint="eastAsia" w:eastAsia="宋体"/>
        <w:sz w:val="2"/>
        <w:lang w:val="en-US" w:eastAsia="zh-CN"/>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57DFF">
    <w:pPr>
      <w:pStyle w:val="5"/>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E12958">
                          <w:pPr>
                            <w:pStyle w:val="5"/>
                            <w:rPr>
                              <w:rFonts w:ascii="宋体" w:hAns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- 1 -</w:t>
                          </w:r>
                          <w:r>
                            <w:rPr>
                              <w:rFonts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0E12958">
                    <w:pPr>
                      <w:pStyle w:val="5"/>
                      <w:rPr>
                        <w:rFonts w:ascii="宋体" w:hAns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- 1 -</w:t>
                    </w:r>
                    <w:r>
                      <w:rPr>
                        <w:rFonts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BBBF2">
    <w:pPr>
      <w:pStyle w:val="5"/>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1EDAD">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A61EDAD">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06F87">
    <w:pPr>
      <w:pStyle w:val="4"/>
      <w:spacing w:line="14" w:lineRule="auto"/>
      <w:rPr>
        <w:rFonts w:hint="default"/>
        <w:sz w:val="2"/>
        <w:lang w:val="en-US"/>
      </w:rPr>
    </w:pPr>
    <w:r>
      <w:rPr>
        <w:sz w:val="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72238">
                          <w:pPr>
                            <w:pStyle w:val="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09472238">
                    <w:pPr>
                      <w:pStyle w:val="5"/>
                    </w:pPr>
                    <w:r>
                      <w:fldChar w:fldCharType="begin"/>
                    </w:r>
                    <w:r>
                      <w:instrText xml:space="preserve"> PAGE  \* MERGEFORMAT </w:instrText>
                    </w:r>
                    <w:r>
                      <w:fldChar w:fldCharType="separate"/>
                    </w:r>
                    <w:r>
                      <w:t>- 2 -</w:t>
                    </w:r>
                    <w:r>
                      <w:fldChar w:fldCharType="end"/>
                    </w:r>
                  </w:p>
                </w:txbxContent>
              </v:textbox>
            </v:shape>
          </w:pict>
        </mc:Fallback>
      </mc:AlternateContent>
    </w:r>
    <w:r>
      <w:rPr>
        <w:rFonts w:hint="eastAsia" w:eastAsia="宋体"/>
        <w:sz w:val="2"/>
        <w:lang w:val="en-US" w:eastAsia="zh-CN"/>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9669A">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16966">
                          <w:pPr>
                            <w:pStyle w:val="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1A16966">
                    <w:pPr>
                      <w:pStyle w:val="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6A786">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2746E">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1212746E">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EA54">
    <w:pPr>
      <w:pStyle w:val="4"/>
      <w:spacing w:line="14" w:lineRule="auto"/>
      <w:rPr>
        <w:rFonts w:hint="default"/>
        <w:sz w:val="2"/>
        <w:lang w:val="en-US"/>
      </w:rPr>
    </w:pPr>
    <w:r>
      <w:rPr>
        <w:sz w:val="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F570A">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3AF570A">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eastAsia="宋体"/>
        <w:sz w:val="2"/>
        <w:lang w:val="en-US" w:eastAsia="zh-CN"/>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891CD">
    <w:pPr>
      <w:pStyle w:val="5"/>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E1BEA">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4CE1BEA">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A672D">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9E6E4">
                          <w:pPr>
                            <w:pStyle w:val="5"/>
                            <w:rPr>
                              <w:rFonts w:ascii="宋体" w:hAns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- 1 -</w:t>
                          </w:r>
                          <w:r>
                            <w:rPr>
                              <w:rFonts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BF9E6E4">
                    <w:pPr>
                      <w:pStyle w:val="5"/>
                      <w:rPr>
                        <w:rFonts w:ascii="宋体" w:hAns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- 1 -</w:t>
                    </w:r>
                    <w:r>
                      <w:rPr>
                        <w:rFonts w:ascii="宋体" w:hAnsi="宋体" w:cs="宋体"/>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D0B51">
    <w:pPr>
      <w:pStyle w:val="5"/>
    </w:pPr>
    <w:r>
      <mc:AlternateContent>
        <mc:Choice Requires="wps">
          <w:drawing>
            <wp:anchor distT="0" distB="0" distL="114300" distR="114300" simplePos="0" relativeHeight="251660288" behindDoc="0" locked="0" layoutInCell="1" allowOverlap="1">
              <wp:simplePos x="0" y="0"/>
              <wp:positionH relativeFrom="margin">
                <wp:posOffset>6350</wp:posOffset>
              </wp:positionH>
              <wp:positionV relativeFrom="paragraph">
                <wp:posOffset>-81915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819F8">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5pt;margin-top:-6.45pt;height:144pt;width:144pt;mso-position-horizontal-relative:margin;mso-wrap-style:none;z-index:251660288;mso-width-relative:page;mso-height-relative:page;" filled="f" stroked="f" coordsize="21600,21600" o:gfxdata="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W6HsPWAAAACQEAAA8AAAAAAAAAAQAgAAAAIgAAAGRycy9kb3ducmV2LnhtbFBLAQIUABQA&#10;AAAIAIdO4kCaRnGMKwIAAFcEAAAOAAAAAAAAAAEAIAAAACUBAABkcnMvZTJvRG9jLnhtbFBLBQYA&#10;AAAABgAGAFkBAADCBQAAAAA=&#10;">
              <v:fill on="f" focussize="0,0"/>
              <v:stroke on="f" weight="0.5pt"/>
              <v:imagedata o:title=""/>
              <o:lock v:ext="edit" aspectratio="f"/>
              <v:textbox inset="0mm,0mm,0mm,0mm" style="mso-fit-shape-to-text:t;">
                <w:txbxContent>
                  <w:p w14:paraId="0E4819F8">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TI5ZDNiZjIyMGY4MDZjNGI0M2RiZDY2NzVhN2E4NTcifQ=="/>
  </w:docVars>
  <w:rsids>
    <w:rsidRoot w:val="00000000"/>
    <w:rsid w:val="013E4673"/>
    <w:rsid w:val="049272F0"/>
    <w:rsid w:val="04B25911"/>
    <w:rsid w:val="054F6115"/>
    <w:rsid w:val="09481A30"/>
    <w:rsid w:val="0A3B0B2F"/>
    <w:rsid w:val="0ADDD75A"/>
    <w:rsid w:val="0B55C796"/>
    <w:rsid w:val="0BC67500"/>
    <w:rsid w:val="0FBFA5CA"/>
    <w:rsid w:val="10C430FC"/>
    <w:rsid w:val="11ED6EF1"/>
    <w:rsid w:val="129156AF"/>
    <w:rsid w:val="13532191"/>
    <w:rsid w:val="135F6956"/>
    <w:rsid w:val="13AD125D"/>
    <w:rsid w:val="13EBE4F8"/>
    <w:rsid w:val="152D6842"/>
    <w:rsid w:val="17366265"/>
    <w:rsid w:val="17DF9735"/>
    <w:rsid w:val="18FB1C22"/>
    <w:rsid w:val="1A8C18A1"/>
    <w:rsid w:val="1AFF7230"/>
    <w:rsid w:val="1B4D553A"/>
    <w:rsid w:val="1BBA5568"/>
    <w:rsid w:val="1BBF3C33"/>
    <w:rsid w:val="1CAD0994"/>
    <w:rsid w:val="1CEEFD67"/>
    <w:rsid w:val="1DB7548A"/>
    <w:rsid w:val="1DFB25D6"/>
    <w:rsid w:val="1E3E1826"/>
    <w:rsid w:val="1E77A66A"/>
    <w:rsid w:val="1E860D4B"/>
    <w:rsid w:val="1EF60CF5"/>
    <w:rsid w:val="1EFD15E7"/>
    <w:rsid w:val="1EFFFB28"/>
    <w:rsid w:val="1F2E11E4"/>
    <w:rsid w:val="1F5F84FD"/>
    <w:rsid w:val="1F758540"/>
    <w:rsid w:val="1F9DA916"/>
    <w:rsid w:val="1FDE816B"/>
    <w:rsid w:val="1FF72BEF"/>
    <w:rsid w:val="20C01C32"/>
    <w:rsid w:val="21F61C1C"/>
    <w:rsid w:val="2342170A"/>
    <w:rsid w:val="2351457F"/>
    <w:rsid w:val="2435658D"/>
    <w:rsid w:val="250705AC"/>
    <w:rsid w:val="25ED0FA1"/>
    <w:rsid w:val="26799ABE"/>
    <w:rsid w:val="26A93DBD"/>
    <w:rsid w:val="275FE414"/>
    <w:rsid w:val="2BF9147F"/>
    <w:rsid w:val="2D397060"/>
    <w:rsid w:val="2DDB64B2"/>
    <w:rsid w:val="2ED44465"/>
    <w:rsid w:val="2F334CC0"/>
    <w:rsid w:val="2F7EACB7"/>
    <w:rsid w:val="2FA0563A"/>
    <w:rsid w:val="2FF6F5B7"/>
    <w:rsid w:val="2FFE6AD4"/>
    <w:rsid w:val="307C226C"/>
    <w:rsid w:val="327F2249"/>
    <w:rsid w:val="33505B90"/>
    <w:rsid w:val="33DB1629"/>
    <w:rsid w:val="33FF4689"/>
    <w:rsid w:val="35D4E568"/>
    <w:rsid w:val="35EB6296"/>
    <w:rsid w:val="374DDF0C"/>
    <w:rsid w:val="376FD214"/>
    <w:rsid w:val="37B20589"/>
    <w:rsid w:val="37CB52F2"/>
    <w:rsid w:val="37FEA351"/>
    <w:rsid w:val="389EA249"/>
    <w:rsid w:val="39FAB2F2"/>
    <w:rsid w:val="3AFE6637"/>
    <w:rsid w:val="3B763DA8"/>
    <w:rsid w:val="3BAD0C09"/>
    <w:rsid w:val="3BFE5B3C"/>
    <w:rsid w:val="3D7FF302"/>
    <w:rsid w:val="3DD78EAE"/>
    <w:rsid w:val="3DDF3C00"/>
    <w:rsid w:val="3DEE5BCB"/>
    <w:rsid w:val="3DFB5EDD"/>
    <w:rsid w:val="3DFE0079"/>
    <w:rsid w:val="3DFFEE11"/>
    <w:rsid w:val="3E554590"/>
    <w:rsid w:val="3E792A05"/>
    <w:rsid w:val="3EEBA55A"/>
    <w:rsid w:val="3EFB875B"/>
    <w:rsid w:val="3F075526"/>
    <w:rsid w:val="3F787203"/>
    <w:rsid w:val="3F7ABA67"/>
    <w:rsid w:val="3F7D99AE"/>
    <w:rsid w:val="3F7F03E3"/>
    <w:rsid w:val="3F98647E"/>
    <w:rsid w:val="3F9FE7BD"/>
    <w:rsid w:val="3FAB92F9"/>
    <w:rsid w:val="3FB2532C"/>
    <w:rsid w:val="3FB9CFAA"/>
    <w:rsid w:val="3FBF0232"/>
    <w:rsid w:val="3FCB36E1"/>
    <w:rsid w:val="3FD4A6F5"/>
    <w:rsid w:val="3FDB3DF8"/>
    <w:rsid w:val="3FDFD0B3"/>
    <w:rsid w:val="3FF99A03"/>
    <w:rsid w:val="3FFA611E"/>
    <w:rsid w:val="3FFBF355"/>
    <w:rsid w:val="3FFE78C2"/>
    <w:rsid w:val="3FFF8791"/>
    <w:rsid w:val="3FFFEE07"/>
    <w:rsid w:val="404D19C2"/>
    <w:rsid w:val="437FD157"/>
    <w:rsid w:val="44E644B0"/>
    <w:rsid w:val="45EC8753"/>
    <w:rsid w:val="45EF5655"/>
    <w:rsid w:val="47BB0D9F"/>
    <w:rsid w:val="47EFE73C"/>
    <w:rsid w:val="491F5F32"/>
    <w:rsid w:val="49CDF4F2"/>
    <w:rsid w:val="4AFCA113"/>
    <w:rsid w:val="4B6D5AD7"/>
    <w:rsid w:val="4BFD3D3D"/>
    <w:rsid w:val="4C34477E"/>
    <w:rsid w:val="4E76671F"/>
    <w:rsid w:val="4ED7FC7A"/>
    <w:rsid w:val="4FD76FE8"/>
    <w:rsid w:val="4FDF648D"/>
    <w:rsid w:val="500A6659"/>
    <w:rsid w:val="502949D8"/>
    <w:rsid w:val="5387131D"/>
    <w:rsid w:val="53F85E51"/>
    <w:rsid w:val="545D7FC8"/>
    <w:rsid w:val="573FEB1C"/>
    <w:rsid w:val="57DBDE63"/>
    <w:rsid w:val="57F75F15"/>
    <w:rsid w:val="57FF1865"/>
    <w:rsid w:val="59BDBC9F"/>
    <w:rsid w:val="5C9AB159"/>
    <w:rsid w:val="5D3A37B9"/>
    <w:rsid w:val="5D9D2CCB"/>
    <w:rsid w:val="5DCA050F"/>
    <w:rsid w:val="5DDEF2C7"/>
    <w:rsid w:val="5DF6CF05"/>
    <w:rsid w:val="5DFF4E97"/>
    <w:rsid w:val="5ED32047"/>
    <w:rsid w:val="5EF36933"/>
    <w:rsid w:val="5EFF7F6C"/>
    <w:rsid w:val="5F5FDEB4"/>
    <w:rsid w:val="5F74995E"/>
    <w:rsid w:val="5F7E5FCC"/>
    <w:rsid w:val="5FBB5EBC"/>
    <w:rsid w:val="5FBD332F"/>
    <w:rsid w:val="5FD784EF"/>
    <w:rsid w:val="5FDB141C"/>
    <w:rsid w:val="5FE7179B"/>
    <w:rsid w:val="5FEDC5A6"/>
    <w:rsid w:val="5FEF10E0"/>
    <w:rsid w:val="5FEF85C3"/>
    <w:rsid w:val="5FF59BF6"/>
    <w:rsid w:val="5FFF1FB3"/>
    <w:rsid w:val="5FFF64BE"/>
    <w:rsid w:val="60920350"/>
    <w:rsid w:val="61FB3D00"/>
    <w:rsid w:val="62290116"/>
    <w:rsid w:val="627E709B"/>
    <w:rsid w:val="62D358FF"/>
    <w:rsid w:val="633E5C62"/>
    <w:rsid w:val="63BCF8F8"/>
    <w:rsid w:val="63DE8FAF"/>
    <w:rsid w:val="63FE11FD"/>
    <w:rsid w:val="64056B95"/>
    <w:rsid w:val="64D786C5"/>
    <w:rsid w:val="65200BA4"/>
    <w:rsid w:val="65BD2897"/>
    <w:rsid w:val="663A5389"/>
    <w:rsid w:val="66BDBDD3"/>
    <w:rsid w:val="66F24BC3"/>
    <w:rsid w:val="66FEDCF1"/>
    <w:rsid w:val="67BCB6E3"/>
    <w:rsid w:val="67CF0CC4"/>
    <w:rsid w:val="67CF0E6A"/>
    <w:rsid w:val="67DB41B3"/>
    <w:rsid w:val="67E3FE93"/>
    <w:rsid w:val="67FFC1B3"/>
    <w:rsid w:val="687B83AD"/>
    <w:rsid w:val="68850646"/>
    <w:rsid w:val="6A444DE4"/>
    <w:rsid w:val="6B57B9CF"/>
    <w:rsid w:val="6B7E8EC2"/>
    <w:rsid w:val="6BFF3B0A"/>
    <w:rsid w:val="6C17E5C7"/>
    <w:rsid w:val="6CBFB9F0"/>
    <w:rsid w:val="6CD6D9F0"/>
    <w:rsid w:val="6CFFFCD3"/>
    <w:rsid w:val="6DB704B4"/>
    <w:rsid w:val="6DCF29EA"/>
    <w:rsid w:val="6DFFBF5C"/>
    <w:rsid w:val="6E0CDCF3"/>
    <w:rsid w:val="6EBDE399"/>
    <w:rsid w:val="6ED74992"/>
    <w:rsid w:val="6EF74EC7"/>
    <w:rsid w:val="6EFC1FD3"/>
    <w:rsid w:val="6F2F199F"/>
    <w:rsid w:val="6F5D44F8"/>
    <w:rsid w:val="6FA66D7F"/>
    <w:rsid w:val="6FBA234F"/>
    <w:rsid w:val="6FBBB4F6"/>
    <w:rsid w:val="6FBF9714"/>
    <w:rsid w:val="6FCF76BF"/>
    <w:rsid w:val="6FE77007"/>
    <w:rsid w:val="6FEF2F11"/>
    <w:rsid w:val="6FFBB320"/>
    <w:rsid w:val="6FFFC962"/>
    <w:rsid w:val="72041E50"/>
    <w:rsid w:val="723BC2AD"/>
    <w:rsid w:val="73755D6E"/>
    <w:rsid w:val="73BF7A69"/>
    <w:rsid w:val="73FB7F7B"/>
    <w:rsid w:val="742FCE56"/>
    <w:rsid w:val="75D833FD"/>
    <w:rsid w:val="75F730C4"/>
    <w:rsid w:val="762658B3"/>
    <w:rsid w:val="767FF8DE"/>
    <w:rsid w:val="76FBF164"/>
    <w:rsid w:val="76FCAD4B"/>
    <w:rsid w:val="7750FB16"/>
    <w:rsid w:val="7773C78A"/>
    <w:rsid w:val="77B5705C"/>
    <w:rsid w:val="77B5A0E6"/>
    <w:rsid w:val="77E4E759"/>
    <w:rsid w:val="78C9AD88"/>
    <w:rsid w:val="78FF9091"/>
    <w:rsid w:val="795F5BEB"/>
    <w:rsid w:val="79FFD2CF"/>
    <w:rsid w:val="7A743F7F"/>
    <w:rsid w:val="7AFF833F"/>
    <w:rsid w:val="7B2FCF8B"/>
    <w:rsid w:val="7BABE799"/>
    <w:rsid w:val="7BAD7A06"/>
    <w:rsid w:val="7BBF1642"/>
    <w:rsid w:val="7BC53451"/>
    <w:rsid w:val="7BD8751B"/>
    <w:rsid w:val="7BDFF825"/>
    <w:rsid w:val="7BEF4B2B"/>
    <w:rsid w:val="7BEF6E27"/>
    <w:rsid w:val="7BF482FB"/>
    <w:rsid w:val="7BF5D6A0"/>
    <w:rsid w:val="7BF975D1"/>
    <w:rsid w:val="7BFBE803"/>
    <w:rsid w:val="7BFFB602"/>
    <w:rsid w:val="7C77B121"/>
    <w:rsid w:val="7CDC4F44"/>
    <w:rsid w:val="7D1F69E2"/>
    <w:rsid w:val="7D36E999"/>
    <w:rsid w:val="7D59B107"/>
    <w:rsid w:val="7D7741BC"/>
    <w:rsid w:val="7D7F844F"/>
    <w:rsid w:val="7DAE6AAA"/>
    <w:rsid w:val="7DEF22D9"/>
    <w:rsid w:val="7DF6242D"/>
    <w:rsid w:val="7E297F4E"/>
    <w:rsid w:val="7E71D6EF"/>
    <w:rsid w:val="7E9A1946"/>
    <w:rsid w:val="7EABBA1D"/>
    <w:rsid w:val="7EB74F08"/>
    <w:rsid w:val="7EBED3E8"/>
    <w:rsid w:val="7EDF0269"/>
    <w:rsid w:val="7EDF2836"/>
    <w:rsid w:val="7EDF9B43"/>
    <w:rsid w:val="7EF338DD"/>
    <w:rsid w:val="7EF73C80"/>
    <w:rsid w:val="7EF7F7EF"/>
    <w:rsid w:val="7EFEFAAD"/>
    <w:rsid w:val="7EFFD92A"/>
    <w:rsid w:val="7EFFDD5E"/>
    <w:rsid w:val="7F36918D"/>
    <w:rsid w:val="7F3B387B"/>
    <w:rsid w:val="7F3CF715"/>
    <w:rsid w:val="7F663199"/>
    <w:rsid w:val="7F672E1B"/>
    <w:rsid w:val="7F6C8074"/>
    <w:rsid w:val="7F90DF9A"/>
    <w:rsid w:val="7FAAF480"/>
    <w:rsid w:val="7FAFFB88"/>
    <w:rsid w:val="7FB3154C"/>
    <w:rsid w:val="7FB65201"/>
    <w:rsid w:val="7FBF5E17"/>
    <w:rsid w:val="7FCF609F"/>
    <w:rsid w:val="7FDE9AC8"/>
    <w:rsid w:val="7FDF056C"/>
    <w:rsid w:val="7FDF7FDC"/>
    <w:rsid w:val="7FE090D5"/>
    <w:rsid w:val="7FE54A2E"/>
    <w:rsid w:val="7FE78155"/>
    <w:rsid w:val="7FEEF661"/>
    <w:rsid w:val="7FF4AFDF"/>
    <w:rsid w:val="7FF5C35D"/>
    <w:rsid w:val="7FF6D4AE"/>
    <w:rsid w:val="7FF74BD4"/>
    <w:rsid w:val="7FF779BC"/>
    <w:rsid w:val="7FFBF8A0"/>
    <w:rsid w:val="7FFD8CCF"/>
    <w:rsid w:val="7FFE8DBE"/>
    <w:rsid w:val="7FFF16CC"/>
    <w:rsid w:val="7FFFE763"/>
    <w:rsid w:val="82D1C5B6"/>
    <w:rsid w:val="85FF3E4B"/>
    <w:rsid w:val="87F71477"/>
    <w:rsid w:val="87F72C63"/>
    <w:rsid w:val="8BBF7F4A"/>
    <w:rsid w:val="8D93ECA7"/>
    <w:rsid w:val="933FBED1"/>
    <w:rsid w:val="9566D5E3"/>
    <w:rsid w:val="972FD597"/>
    <w:rsid w:val="97D75AF4"/>
    <w:rsid w:val="97ED634A"/>
    <w:rsid w:val="9CEB7BDF"/>
    <w:rsid w:val="9D465CE4"/>
    <w:rsid w:val="9DDE6061"/>
    <w:rsid w:val="9E737A93"/>
    <w:rsid w:val="9E9FAB94"/>
    <w:rsid w:val="9EFF770A"/>
    <w:rsid w:val="9F679F4D"/>
    <w:rsid w:val="9F6DEB7A"/>
    <w:rsid w:val="9F6E74F8"/>
    <w:rsid w:val="9F6F04E5"/>
    <w:rsid w:val="9FB7EEA4"/>
    <w:rsid w:val="9FCFDFAC"/>
    <w:rsid w:val="9FFFB1D6"/>
    <w:rsid w:val="A1FD60B3"/>
    <w:rsid w:val="A3C6E201"/>
    <w:rsid w:val="A5AF9EF0"/>
    <w:rsid w:val="A7EB0BBB"/>
    <w:rsid w:val="A83323A2"/>
    <w:rsid w:val="AF8BEF9B"/>
    <w:rsid w:val="AFDE7465"/>
    <w:rsid w:val="AFDED690"/>
    <w:rsid w:val="AFDF410B"/>
    <w:rsid w:val="AFEFBFE6"/>
    <w:rsid w:val="AFF9E2C3"/>
    <w:rsid w:val="AFFEC63B"/>
    <w:rsid w:val="AFFF2D01"/>
    <w:rsid w:val="B5F75482"/>
    <w:rsid w:val="B5F98B76"/>
    <w:rsid w:val="B6E7CA46"/>
    <w:rsid w:val="B6FB7576"/>
    <w:rsid w:val="B6FEC19B"/>
    <w:rsid w:val="B77E4903"/>
    <w:rsid w:val="B7E767C4"/>
    <w:rsid w:val="BA3FD80F"/>
    <w:rsid w:val="BAF7BFAF"/>
    <w:rsid w:val="BAFFECD4"/>
    <w:rsid w:val="BDBB5099"/>
    <w:rsid w:val="BDCD8F7A"/>
    <w:rsid w:val="BDF7B165"/>
    <w:rsid w:val="BE3F1444"/>
    <w:rsid w:val="BE7E7135"/>
    <w:rsid w:val="BED7C9A4"/>
    <w:rsid w:val="BEDCF388"/>
    <w:rsid w:val="BEF3C3EA"/>
    <w:rsid w:val="BEF7DADA"/>
    <w:rsid w:val="BF2FF4DA"/>
    <w:rsid w:val="BF713518"/>
    <w:rsid w:val="BF93F1CB"/>
    <w:rsid w:val="BFC7A0C9"/>
    <w:rsid w:val="BFD97C07"/>
    <w:rsid w:val="BFDE7D9D"/>
    <w:rsid w:val="BFDF112F"/>
    <w:rsid w:val="BFE8A930"/>
    <w:rsid w:val="BFEFE87E"/>
    <w:rsid w:val="BFFF2175"/>
    <w:rsid w:val="C001B995"/>
    <w:rsid w:val="C3DCCA65"/>
    <w:rsid w:val="C56F1154"/>
    <w:rsid w:val="C5FB4AC8"/>
    <w:rsid w:val="C73FC6CD"/>
    <w:rsid w:val="CBEFEBD0"/>
    <w:rsid w:val="CD7FD54B"/>
    <w:rsid w:val="CD9334A5"/>
    <w:rsid w:val="CEBDFDC7"/>
    <w:rsid w:val="CEF64F08"/>
    <w:rsid w:val="CFBF417A"/>
    <w:rsid w:val="CFF6CA33"/>
    <w:rsid w:val="D1B5DF6B"/>
    <w:rsid w:val="D1ED514A"/>
    <w:rsid w:val="D2E05801"/>
    <w:rsid w:val="D3FEFBEE"/>
    <w:rsid w:val="D6F1012B"/>
    <w:rsid w:val="D70D0FD0"/>
    <w:rsid w:val="D74B9978"/>
    <w:rsid w:val="D793BBE0"/>
    <w:rsid w:val="D79DD884"/>
    <w:rsid w:val="D7D9CF67"/>
    <w:rsid w:val="D7DE442C"/>
    <w:rsid w:val="D7EAFA8F"/>
    <w:rsid w:val="D9FF6ED5"/>
    <w:rsid w:val="DB766E9E"/>
    <w:rsid w:val="DB7A94D7"/>
    <w:rsid w:val="DBBD8315"/>
    <w:rsid w:val="DBBFF564"/>
    <w:rsid w:val="DC7F5E38"/>
    <w:rsid w:val="DE37DC2B"/>
    <w:rsid w:val="DE714240"/>
    <w:rsid w:val="DEB65C71"/>
    <w:rsid w:val="DEF7478A"/>
    <w:rsid w:val="DEFA668C"/>
    <w:rsid w:val="DF7FB4FF"/>
    <w:rsid w:val="DF9BE263"/>
    <w:rsid w:val="DFB751F3"/>
    <w:rsid w:val="DFBBB523"/>
    <w:rsid w:val="DFDE2FBD"/>
    <w:rsid w:val="DFDF06BD"/>
    <w:rsid w:val="DFE371D5"/>
    <w:rsid w:val="DFE98A67"/>
    <w:rsid w:val="DFEF3CC9"/>
    <w:rsid w:val="DFF73C1F"/>
    <w:rsid w:val="DFFB269F"/>
    <w:rsid w:val="DFFB2947"/>
    <w:rsid w:val="E3D76876"/>
    <w:rsid w:val="E3DF8CA0"/>
    <w:rsid w:val="E6AFFCE3"/>
    <w:rsid w:val="E6DF3E9D"/>
    <w:rsid w:val="E6F582DE"/>
    <w:rsid w:val="E6FB8E37"/>
    <w:rsid w:val="E7B46D1E"/>
    <w:rsid w:val="E92F9E03"/>
    <w:rsid w:val="EA97DC77"/>
    <w:rsid w:val="EABB9DA4"/>
    <w:rsid w:val="EB5F9C14"/>
    <w:rsid w:val="EB7F8A7B"/>
    <w:rsid w:val="EBD50F5A"/>
    <w:rsid w:val="EBDD6D13"/>
    <w:rsid w:val="EBEA151D"/>
    <w:rsid w:val="EBEB5BFF"/>
    <w:rsid w:val="EBF701C0"/>
    <w:rsid w:val="EBFF4456"/>
    <w:rsid w:val="ED9BB7C4"/>
    <w:rsid w:val="EDDD04EF"/>
    <w:rsid w:val="EE7E8B94"/>
    <w:rsid w:val="EEB7CE3C"/>
    <w:rsid w:val="EEBE8ADF"/>
    <w:rsid w:val="EF7E7743"/>
    <w:rsid w:val="EF9DFA53"/>
    <w:rsid w:val="EFB24A29"/>
    <w:rsid w:val="EFBBE1F8"/>
    <w:rsid w:val="EFDD5E24"/>
    <w:rsid w:val="EFFE00E9"/>
    <w:rsid w:val="F0CF3F50"/>
    <w:rsid w:val="F2375A0C"/>
    <w:rsid w:val="F2FFB40E"/>
    <w:rsid w:val="F2FFFD95"/>
    <w:rsid w:val="F3466E81"/>
    <w:rsid w:val="F3AB2B7B"/>
    <w:rsid w:val="F3BF6DC3"/>
    <w:rsid w:val="F3FBAD9D"/>
    <w:rsid w:val="F43B3631"/>
    <w:rsid w:val="F52DF029"/>
    <w:rsid w:val="F5CF8395"/>
    <w:rsid w:val="F6BD0B87"/>
    <w:rsid w:val="F6BEAD5A"/>
    <w:rsid w:val="F6D73D1F"/>
    <w:rsid w:val="F6E541B9"/>
    <w:rsid w:val="F6F62788"/>
    <w:rsid w:val="F6FDB8E9"/>
    <w:rsid w:val="F6FF4B9D"/>
    <w:rsid w:val="F74F9F01"/>
    <w:rsid w:val="F7AE4D4B"/>
    <w:rsid w:val="F7AF78BD"/>
    <w:rsid w:val="F7B98AF7"/>
    <w:rsid w:val="F7DB4FA6"/>
    <w:rsid w:val="F7DB731F"/>
    <w:rsid w:val="F7DD5344"/>
    <w:rsid w:val="F7EF68E6"/>
    <w:rsid w:val="F7FE02C1"/>
    <w:rsid w:val="F7FF4C81"/>
    <w:rsid w:val="F7FF4D64"/>
    <w:rsid w:val="F7FF6C7F"/>
    <w:rsid w:val="F7FF6E80"/>
    <w:rsid w:val="F7FF7F5D"/>
    <w:rsid w:val="F8FFF232"/>
    <w:rsid w:val="F95F73AB"/>
    <w:rsid w:val="F9D7B98A"/>
    <w:rsid w:val="F9DF9BF2"/>
    <w:rsid w:val="F9F3F3F9"/>
    <w:rsid w:val="F9F9B078"/>
    <w:rsid w:val="F9FD9A94"/>
    <w:rsid w:val="F9FDEB09"/>
    <w:rsid w:val="F9FEB65C"/>
    <w:rsid w:val="FAB79F3F"/>
    <w:rsid w:val="FAB94BC2"/>
    <w:rsid w:val="FAFE5010"/>
    <w:rsid w:val="FAFF226F"/>
    <w:rsid w:val="FB7451C1"/>
    <w:rsid w:val="FB9B843B"/>
    <w:rsid w:val="FB9E209A"/>
    <w:rsid w:val="FBADD21F"/>
    <w:rsid w:val="FBB27B3C"/>
    <w:rsid w:val="FBBFA87A"/>
    <w:rsid w:val="FBE7EF23"/>
    <w:rsid w:val="FBFD89D2"/>
    <w:rsid w:val="FBFF039C"/>
    <w:rsid w:val="FC1F3FC5"/>
    <w:rsid w:val="FC6F422E"/>
    <w:rsid w:val="FCB6A47F"/>
    <w:rsid w:val="FCEF19E0"/>
    <w:rsid w:val="FCEF1B99"/>
    <w:rsid w:val="FCFF9765"/>
    <w:rsid w:val="FD0F1891"/>
    <w:rsid w:val="FD6FDD4B"/>
    <w:rsid w:val="FD7A8002"/>
    <w:rsid w:val="FDD3EB4A"/>
    <w:rsid w:val="FDDB3687"/>
    <w:rsid w:val="FDDF25DB"/>
    <w:rsid w:val="FDDFADA4"/>
    <w:rsid w:val="FDF3338E"/>
    <w:rsid w:val="FDFE5909"/>
    <w:rsid w:val="FDFF8D11"/>
    <w:rsid w:val="FDFFFCA3"/>
    <w:rsid w:val="FE1F065C"/>
    <w:rsid w:val="FE338A47"/>
    <w:rsid w:val="FE3F58E7"/>
    <w:rsid w:val="FE4F4980"/>
    <w:rsid w:val="FE7E40DC"/>
    <w:rsid w:val="FEA74910"/>
    <w:rsid w:val="FEB00458"/>
    <w:rsid w:val="FEBF7B62"/>
    <w:rsid w:val="FEDD6E8D"/>
    <w:rsid w:val="FEEDF064"/>
    <w:rsid w:val="FEEEF57E"/>
    <w:rsid w:val="FEF6A828"/>
    <w:rsid w:val="FF27A9DD"/>
    <w:rsid w:val="FF394475"/>
    <w:rsid w:val="FF3F0776"/>
    <w:rsid w:val="FF770374"/>
    <w:rsid w:val="FF77BDCE"/>
    <w:rsid w:val="FF7BFF70"/>
    <w:rsid w:val="FF7FB657"/>
    <w:rsid w:val="FF96E37A"/>
    <w:rsid w:val="FF97DFC7"/>
    <w:rsid w:val="FF9FFA46"/>
    <w:rsid w:val="FFAD3478"/>
    <w:rsid w:val="FFBF9EE4"/>
    <w:rsid w:val="FFD63AB3"/>
    <w:rsid w:val="FFD74F3C"/>
    <w:rsid w:val="FFD952F5"/>
    <w:rsid w:val="FFDB8D4E"/>
    <w:rsid w:val="FFE6F53D"/>
    <w:rsid w:val="FFEF177F"/>
    <w:rsid w:val="FFEF416E"/>
    <w:rsid w:val="FFF3A885"/>
    <w:rsid w:val="FFF4868E"/>
    <w:rsid w:val="FFF6025C"/>
    <w:rsid w:val="FFFAB03C"/>
    <w:rsid w:val="FFFF2905"/>
    <w:rsid w:val="FFFF54C6"/>
    <w:rsid w:val="FFFF7DC8"/>
    <w:rsid w:val="FFFFE6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3">
    <w:name w:val="annotation text"/>
    <w:basedOn w:val="1"/>
    <w:qFormat/>
    <w:uiPriority w:val="0"/>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7">
    <w:name w:val="Subtitle"/>
    <w:basedOn w:val="1"/>
    <w:next w:val="1"/>
    <w:qFormat/>
    <w:uiPriority w:val="11"/>
    <w:pPr>
      <w:spacing w:before="240" w:after="240" w:line="312" w:lineRule="auto"/>
      <w:jc w:val="center"/>
      <w:outlineLvl w:val="1"/>
    </w:pPr>
    <w:rPr>
      <w:rFonts w:ascii="等线" w:hAnsi="等线" w:eastAsia="等线"/>
      <w:kern w:val="28"/>
      <w:sz w:val="40"/>
      <w:szCs w:val="4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方正正文"/>
    <w:basedOn w:val="1"/>
    <w:qFormat/>
    <w:uiPriority w:val="0"/>
    <w:pPr>
      <w:snapToGrid w:val="0"/>
      <w:spacing w:line="319" w:lineRule="auto"/>
      <w:ind w:firstLine="200" w:firstLineChars="200"/>
    </w:pPr>
    <w:rPr>
      <w:rFonts w:ascii="Calibri" w:hAnsi="Calibri" w:eastAsia="方正仿宋" w:cs="Times New Roman"/>
      <w:sz w:val="32"/>
      <w:szCs w:val="22"/>
    </w:rPr>
  </w:style>
  <w:style w:type="character" w:customStyle="1" w:styleId="13">
    <w:name w:val="font11"/>
    <w:basedOn w:val="10"/>
    <w:qFormat/>
    <w:uiPriority w:val="0"/>
    <w:rPr>
      <w:rFonts w:hint="eastAsia" w:ascii="宋体" w:hAnsi="宋体" w:eastAsia="宋体" w:cs="宋体"/>
      <w:b/>
      <w:bCs/>
      <w:color w:val="000000"/>
      <w:sz w:val="24"/>
      <w:szCs w:val="24"/>
      <w:u w:val="none"/>
    </w:rPr>
  </w:style>
  <w:style w:type="character" w:customStyle="1" w:styleId="14">
    <w:name w:val="font21"/>
    <w:basedOn w:val="10"/>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image" Target="media/image22.jpeg"/><Relationship Id="rId36" Type="http://schemas.openxmlformats.org/officeDocument/2006/relationships/image" Target="media/image21.jpeg"/><Relationship Id="rId35" Type="http://schemas.openxmlformats.org/officeDocument/2006/relationships/image" Target="media/image20.jpeg"/><Relationship Id="rId34" Type="http://schemas.openxmlformats.org/officeDocument/2006/relationships/image" Target="media/image19.jpeg"/><Relationship Id="rId33" Type="http://schemas.openxmlformats.org/officeDocument/2006/relationships/image" Target="media/image18.jpeg"/><Relationship Id="rId32" Type="http://schemas.openxmlformats.org/officeDocument/2006/relationships/image" Target="media/image17.jpeg"/><Relationship Id="rId31" Type="http://schemas.openxmlformats.org/officeDocument/2006/relationships/image" Target="media/image16.jpeg"/><Relationship Id="rId30" Type="http://schemas.openxmlformats.org/officeDocument/2006/relationships/image" Target="media/image15.jpeg"/><Relationship Id="rId3" Type="http://schemas.openxmlformats.org/officeDocument/2006/relationships/footnotes" Target="footnotes.xml"/><Relationship Id="rId29" Type="http://schemas.openxmlformats.org/officeDocument/2006/relationships/image" Target="media/image14.jpeg"/><Relationship Id="rId28" Type="http://schemas.openxmlformats.org/officeDocument/2006/relationships/image" Target="media/image13.jpeg"/><Relationship Id="rId27" Type="http://schemas.openxmlformats.org/officeDocument/2006/relationships/image" Target="media/image12.jpeg"/><Relationship Id="rId26" Type="http://schemas.openxmlformats.org/officeDocument/2006/relationships/image" Target="media/image11.jpeg"/><Relationship Id="rId25" Type="http://schemas.openxmlformats.org/officeDocument/2006/relationships/image" Target="media/image10.png"/><Relationship Id="rId24" Type="http://schemas.openxmlformats.org/officeDocument/2006/relationships/image" Target="media/image9.jpeg"/><Relationship Id="rId23" Type="http://schemas.openxmlformats.org/officeDocument/2006/relationships/image" Target="media/image8.png"/><Relationship Id="rId22" Type="http://schemas.openxmlformats.org/officeDocument/2006/relationships/image" Target="media/image7.jpeg"/><Relationship Id="rId21" Type="http://schemas.openxmlformats.org/officeDocument/2006/relationships/image" Target="media/image6.pn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33</Pages>
  <Words>9660</Words>
  <Characters>9929</Characters>
  <TotalTime>80</TotalTime>
  <ScaleCrop>false</ScaleCrop>
  <LinksUpToDate>false</LinksUpToDate>
  <CharactersWithSpaces>10244</CharactersWithSpaces>
  <Application>WPS Office_12.8.2.21176_F1E327BC-269C-435d-A152-05C5408002CA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2024-08-16T00:33:00Z</dcterms:created>
  <dc:creator>Windows 用户</dc:creator>
  <cp:lastModifiedBy>kylin</cp:lastModifiedBy>
  <cp:lastPrinted>2026-08-13T00:49:00Z</cp:lastPrinted>
  <dcterms:modified xsi:type="dcterms:W3CDTF">2026-08-17T09:14:45Z</dcterms:modified>
  <dc:title>云南省烟草专卖局关于印发云南省XX县（市、区）烟草制品零售点合理布局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2024-07-20T20:35:03Z</vt:filetime>
  </property>
  <property fmtid="{D5CDD505-2E9C-101B-9397-08002B2CF9AE}" pid="4" name="KSOProductBuildVer">
    <vt:lpwstr>2052-12.8.2.21176</vt:lpwstr>
  </property>
  <property fmtid="{D5CDD505-2E9C-101B-9397-08002B2CF9AE}" pid="5" name="ICV">
    <vt:lpwstr>5EEA3039F8D8E7748560826A89D880D5_43</vt:lpwstr>
  </property>
</Properties>
</file>