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EAE72">
      <w:pPr>
        <w:keepNext w:val="0"/>
        <w:keepLines w:val="0"/>
        <w:pageBreakBefore w:val="0"/>
        <w:widowControl w:val="0"/>
        <w:kinsoku/>
        <w:wordWrap/>
        <w:overflowPunct/>
        <w:topLinePunct w:val="0"/>
        <w:autoSpaceDE/>
        <w:autoSpaceDN/>
        <w:bidi w:val="0"/>
        <w:adjustRightInd/>
        <w:snapToGrid/>
        <w:spacing w:line="740" w:lineRule="exact"/>
        <w:ind w:right="0" w:rightChars="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新平彝族傣族自治县2024年国民经济和社会发展计划执行情况与2025年国民经济和社会发展计划的报告</w:t>
      </w:r>
    </w:p>
    <w:p w14:paraId="653BC9C3">
      <w:pPr>
        <w:pStyle w:val="2"/>
        <w:keepNext w:val="0"/>
        <w:keepLines w:val="0"/>
        <w:pageBreakBefore w:val="0"/>
        <w:widowControl w:val="0"/>
        <w:kinsoku/>
        <w:wordWrap/>
        <w:overflowPunct/>
        <w:topLinePunct w:val="0"/>
        <w:autoSpaceDE/>
        <w:autoSpaceDN/>
        <w:bidi w:val="0"/>
        <w:adjustRightInd/>
        <w:snapToGrid/>
        <w:spacing w:line="740" w:lineRule="exact"/>
        <w:textAlignment w:val="auto"/>
        <w:rPr>
          <w:rFonts w:hint="default"/>
        </w:rPr>
      </w:pPr>
    </w:p>
    <w:p w14:paraId="7502F6E5">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一、2024年国民经济和社会发展计划执行情况</w:t>
      </w:r>
    </w:p>
    <w:p w14:paraId="5AC89392">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一年来，全县上下在县委的领导和县人大、县政协</w:t>
      </w:r>
      <w:bookmarkStart w:id="0" w:name="_GoBack"/>
      <w:bookmarkEnd w:id="0"/>
      <w:r>
        <w:rPr>
          <w:rFonts w:hint="default" w:ascii="Times New Roman" w:hAnsi="Times New Roman" w:eastAsia="仿宋_GB2312" w:cs="Times New Roman"/>
          <w:sz w:val="32"/>
          <w:szCs w:val="32"/>
        </w:rPr>
        <w:t>的监督支持下，</w:t>
      </w:r>
      <w:r>
        <w:rPr>
          <w:rFonts w:hint="default" w:ascii="Times New Roman" w:hAnsi="Times New Roman" w:eastAsia="仿宋_GB2312" w:cs="Times New Roman"/>
          <w:sz w:val="32"/>
          <w:szCs w:val="32"/>
          <w:lang w:val="en-US" w:eastAsia="zh-CN"/>
        </w:rPr>
        <w:t>始终</w:t>
      </w:r>
      <w:r>
        <w:rPr>
          <w:rFonts w:hint="default" w:ascii="Times New Roman" w:hAnsi="Times New Roman" w:eastAsia="仿宋_GB2312" w:cs="Times New Roman"/>
          <w:sz w:val="32"/>
          <w:szCs w:val="32"/>
        </w:rPr>
        <w:t>以习近平新时代中国特色社会主义思想为指导，深入贯彻党的二十大和二十届</w:t>
      </w:r>
      <w:r>
        <w:rPr>
          <w:rFonts w:hint="default" w:ascii="Times New Roman" w:hAnsi="Times New Roman" w:eastAsia="仿宋_GB2312" w:cs="Times New Roman"/>
          <w:sz w:val="32"/>
          <w:szCs w:val="32"/>
          <w:lang w:val="en-US" w:eastAsia="zh-CN"/>
        </w:rPr>
        <w:t>二中、</w:t>
      </w:r>
      <w:r>
        <w:rPr>
          <w:rFonts w:hint="default" w:ascii="Times New Roman" w:hAnsi="Times New Roman" w:eastAsia="仿宋_GB2312" w:cs="Times New Roman"/>
          <w:sz w:val="32"/>
          <w:szCs w:val="32"/>
        </w:rPr>
        <w:t>三中全会精神</w:t>
      </w:r>
      <w:r>
        <w:rPr>
          <w:rFonts w:hint="default"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rPr>
        <w:t>习近平总书记考察云南重要讲话</w:t>
      </w:r>
      <w:r>
        <w:rPr>
          <w:rFonts w:hint="default" w:ascii="Times New Roman" w:hAnsi="Times New Roman" w:eastAsia="仿宋_GB2312" w:cs="Times New Roman"/>
          <w:sz w:val="32"/>
          <w:szCs w:val="32"/>
          <w:lang w:eastAsia="zh-CN"/>
        </w:rPr>
        <w:t>和重要指示批示精神</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认真落实市委、市政府部署要求，</w:t>
      </w:r>
      <w:r>
        <w:rPr>
          <w:rFonts w:hint="default" w:ascii="Times New Roman" w:hAnsi="Times New Roman" w:eastAsia="仿宋_GB2312" w:cs="Times New Roman"/>
          <w:sz w:val="32"/>
          <w:szCs w:val="32"/>
        </w:rPr>
        <w:t>坚持稳中求进工作总基调，完整、准确、全面贯彻新发展理念，加快构建新发展格局，</w:t>
      </w:r>
      <w:r>
        <w:rPr>
          <w:rFonts w:hint="default" w:ascii="Times New Roman" w:hAnsi="Times New Roman" w:eastAsia="仿宋_GB2312" w:cs="Times New Roman"/>
          <w:sz w:val="32"/>
          <w:szCs w:val="32"/>
          <w:lang w:val="en-US" w:eastAsia="zh-CN"/>
        </w:rPr>
        <w:t>以改革攻坚推动发展破题，全力以赴抓经济促发展、惠民生守底线，让高质量发展步伐迈得</w:t>
      </w:r>
      <w:r>
        <w:rPr>
          <w:rFonts w:hint="default" w:ascii="Times New Roman" w:hAnsi="Times New Roman" w:eastAsia="仿宋_GB2312" w:cs="Times New Roman"/>
          <w:spacing w:val="-6"/>
          <w:sz w:val="32"/>
          <w:szCs w:val="32"/>
          <w:lang w:val="en-US" w:eastAsia="zh-CN"/>
        </w:rPr>
        <w:t>更加稳健、更加坚实，</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lang w:val="en-US" w:eastAsia="zh-CN"/>
        </w:rPr>
        <w:t>新平之变</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lang w:val="en-US" w:eastAsia="zh-CN"/>
        </w:rPr>
        <w:t>呈现出从量变到质变的喜人变化</w:t>
      </w:r>
      <w:r>
        <w:rPr>
          <w:rFonts w:hint="default" w:ascii="Times New Roman" w:hAnsi="Times New Roman" w:eastAsia="仿宋_GB2312" w:cs="Times New Roman"/>
          <w:spacing w:val="-6"/>
          <w:sz w:val="32"/>
          <w:szCs w:val="32"/>
        </w:rPr>
        <w:t>。</w:t>
      </w:r>
    </w:p>
    <w:p w14:paraId="42E0321F">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rPr>
        <w:t>（一）县域经济</w:t>
      </w:r>
      <w:r>
        <w:rPr>
          <w:rFonts w:hint="default" w:ascii="Times New Roman" w:hAnsi="Times New Roman" w:eastAsia="楷体_GB2312" w:cs="Times New Roman"/>
          <w:sz w:val="32"/>
          <w:szCs w:val="32"/>
          <w:lang w:val="en-US" w:eastAsia="zh-CN"/>
        </w:rPr>
        <w:t>回升</w:t>
      </w:r>
      <w:r>
        <w:rPr>
          <w:rFonts w:hint="default" w:ascii="Times New Roman" w:hAnsi="Times New Roman" w:eastAsia="楷体_GB2312" w:cs="Times New Roman"/>
          <w:sz w:val="32"/>
          <w:szCs w:val="32"/>
        </w:rPr>
        <w:t>向好。</w:t>
      </w:r>
      <w:r>
        <w:rPr>
          <w:rFonts w:hint="default" w:ascii="Times New Roman" w:hAnsi="Times New Roman" w:eastAsia="仿宋_GB2312" w:cs="Times New Roman"/>
          <w:sz w:val="32"/>
          <w:szCs w:val="32"/>
          <w:lang w:val="en-US" w:eastAsia="zh-CN"/>
        </w:rPr>
        <w:t>今年以来，全面激活乡镇（街道）、产业园区抓经济促发展内生动力，认真落实系列三年行动，持续壮大“三大经济”，着力推动农业、开放型经济、园区经济、文旅消费四方面破局，县域经济发展呈现回升向好态势。全年预计完成地区生产总值290.6亿元、同比增长5.5%。其中，第一产业增加值37亿元、同比增长3.5%；第二产业增加值122.8亿元、同比增长6.7%；第三产业增加值130.8亿元、同比增长5%；预计完成规模以上固定资产投资75.6亿元、同比增长34.6%；完成一般公共预算收入16.6亿元、同比增长33.7%；完成一般公共预算支出30亿元、同比增长6%；预计完成社会消费品零售总额94.3亿元、同比增长10%；预计实现城镇居民人均可支配收入50621元、同比增长4%；预计实现农村居民人均可支配收入21799元、同比增长8%。共有经营主体46381户，比2023年底净增4109户，完成净增目标3863户的106.4%；新增“四上”企业60户；认定市级农业基地130个，县级农业基地386个，农业基地转“四上”企业30户。三季度，全市乡镇（街道）抓经济促发展考评，在一类地区中，戛洒镇排名全市第一；在二类地区中，水塘镇、老厂乡、平掌乡分别排名全市第一、二、三名。</w:t>
      </w:r>
    </w:p>
    <w:p w14:paraId="30521249">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（二）特色农业加速发展。</w:t>
      </w:r>
      <w:r>
        <w:rPr>
          <w:rFonts w:hint="default" w:ascii="Times New Roman" w:hAnsi="Times New Roman" w:eastAsia="仿宋_GB2312" w:cs="Times New Roman"/>
          <w:sz w:val="32"/>
          <w:szCs w:val="32"/>
          <w:lang w:val="en-US" w:eastAsia="zh-CN"/>
        </w:rPr>
        <w:t>坚定</w:t>
      </w:r>
      <w:r>
        <w:rPr>
          <w:rFonts w:hint="default" w:ascii="Times New Roman" w:hAnsi="Times New Roman" w:eastAsia="仿宋_GB2312" w:cs="Times New Roman"/>
          <w:sz w:val="32"/>
          <w:szCs w:val="32"/>
        </w:rPr>
        <w:t>高原特色农业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产业化、规模化、标准化、品牌化</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发展方向，全力推进现代农业质量齐升，</w:t>
      </w:r>
      <w:r>
        <w:rPr>
          <w:rFonts w:hint="default" w:ascii="Times New Roman" w:hAnsi="Times New Roman" w:eastAsia="仿宋_GB2312" w:cs="Times New Roman"/>
          <w:sz w:val="32"/>
          <w:szCs w:val="32"/>
          <w:lang w:val="en-US" w:eastAsia="zh-CN"/>
        </w:rPr>
        <w:t>预计</w:t>
      </w:r>
      <w:r>
        <w:rPr>
          <w:rFonts w:hint="default" w:ascii="Times New Roman" w:hAnsi="Times New Roman" w:eastAsia="仿宋_GB2312" w:cs="Times New Roman"/>
          <w:sz w:val="32"/>
          <w:szCs w:val="32"/>
        </w:rPr>
        <w:t>完成农林牧渔业总产值</w:t>
      </w:r>
      <w:r>
        <w:rPr>
          <w:rFonts w:hint="default" w:ascii="Times New Roman" w:hAnsi="Times New Roman" w:eastAsia="仿宋_GB2312" w:cs="Times New Roman"/>
          <w:sz w:val="32"/>
          <w:szCs w:val="32"/>
          <w:lang w:val="en-US" w:eastAsia="zh-CN"/>
        </w:rPr>
        <w:t>72.4</w:t>
      </w:r>
      <w:r>
        <w:rPr>
          <w:rFonts w:hint="default" w:ascii="Times New Roman" w:hAnsi="Times New Roman" w:eastAsia="仿宋_GB2312" w:cs="Times New Roman"/>
          <w:sz w:val="32"/>
          <w:szCs w:val="32"/>
        </w:rPr>
        <w:t>亿元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同比增长</w:t>
      </w:r>
      <w:r>
        <w:rPr>
          <w:rFonts w:hint="default" w:ascii="Times New Roman" w:hAnsi="Times New Roman" w:eastAsia="仿宋_GB2312" w:cs="Times New Roman"/>
          <w:sz w:val="32"/>
          <w:szCs w:val="32"/>
          <w:lang w:val="en-US" w:eastAsia="zh-CN"/>
        </w:rPr>
        <w:t>3.5</w:t>
      </w:r>
      <w:r>
        <w:rPr>
          <w:rFonts w:hint="default" w:ascii="Times New Roman" w:hAnsi="Times New Roman" w:eastAsia="仿宋_GB2312" w:cs="Times New Roman"/>
          <w:sz w:val="32"/>
          <w:szCs w:val="32"/>
        </w:rPr>
        <w:t>%。粮食生产保持总体稳定，实现粮食种植面积52.5万亩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总产</w:t>
      </w:r>
      <w:r>
        <w:rPr>
          <w:rFonts w:hint="default" w:ascii="Times New Roman" w:hAnsi="Times New Roman" w:eastAsia="仿宋_GB2312" w:cs="Times New Roman"/>
          <w:sz w:val="32"/>
          <w:szCs w:val="32"/>
          <w:lang w:val="en-US" w:eastAsia="zh-CN"/>
        </w:rPr>
        <w:t>量18.45万吨</w:t>
      </w:r>
      <w:r>
        <w:rPr>
          <w:rFonts w:hint="default" w:ascii="Times New Roman" w:hAnsi="Times New Roman" w:eastAsia="仿宋_GB2312" w:cs="Times New Roman"/>
          <w:sz w:val="32"/>
          <w:szCs w:val="32"/>
        </w:rPr>
        <w:t>。36万吨德康饲料厂建成投入使用</w:t>
      </w:r>
      <w:r>
        <w:rPr>
          <w:rFonts w:hint="default" w:ascii="Times New Roman" w:hAnsi="Times New Roman" w:eastAsia="仿宋_GB2312" w:cs="Times New Roman"/>
          <w:sz w:val="32"/>
          <w:szCs w:val="32"/>
          <w:lang w:eastAsia="zh-CN"/>
        </w:rPr>
        <w:t>，生猪养殖、饲料生产、肉制品加工等生猪产业链延伸发展，</w:t>
      </w:r>
      <w:r>
        <w:rPr>
          <w:rFonts w:hint="default" w:ascii="Times New Roman" w:hAnsi="Times New Roman" w:eastAsia="仿宋_GB2312" w:cs="Times New Roman"/>
          <w:sz w:val="32"/>
          <w:szCs w:val="32"/>
        </w:rPr>
        <w:t>牛、羊、家禽存（出）栏均比上年不同程度提升，实现存栏生猪37.</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万头，出栏生猪5</w:t>
      </w:r>
      <w:r>
        <w:rPr>
          <w:rFonts w:hint="default" w:ascii="Times New Roman" w:hAnsi="Times New Roman" w:eastAsia="仿宋_GB2312" w:cs="Times New Roman"/>
          <w:sz w:val="32"/>
          <w:szCs w:val="32"/>
          <w:lang w:val="en-US" w:eastAsia="zh-CN"/>
        </w:rPr>
        <w:t>2.8</w:t>
      </w:r>
      <w:r>
        <w:rPr>
          <w:rFonts w:hint="default" w:ascii="Times New Roman" w:hAnsi="Times New Roman" w:eastAsia="仿宋_GB2312" w:cs="Times New Roman"/>
          <w:sz w:val="32"/>
          <w:szCs w:val="32"/>
        </w:rPr>
        <w:t>万头；肉蛋总产6.</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万吨，畜牧业现价产值</w:t>
      </w:r>
      <w:r>
        <w:rPr>
          <w:rFonts w:hint="default" w:ascii="Times New Roman" w:hAnsi="Times New Roman" w:eastAsia="仿宋_GB2312" w:cs="Times New Roman"/>
          <w:sz w:val="32"/>
          <w:szCs w:val="32"/>
          <w:lang w:val="en-US" w:eastAsia="zh-CN"/>
        </w:rPr>
        <w:t>17.6</w:t>
      </w:r>
      <w:r>
        <w:rPr>
          <w:rFonts w:hint="default" w:ascii="Times New Roman" w:hAnsi="Times New Roman" w:eastAsia="仿宋_GB2312" w:cs="Times New Roman"/>
          <w:sz w:val="32"/>
          <w:szCs w:val="32"/>
        </w:rPr>
        <w:t>亿元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同比增长</w:t>
      </w:r>
      <w:r>
        <w:rPr>
          <w:rFonts w:hint="default"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rPr>
        <w:t>%。水果产业再上新台阶，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新平柑桔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花腰龙橙</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被农业农村部列为2024年农民丰收节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土特产</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推介，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褚橙</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被省农业农村厅列为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打造乡村消费新场景、培育乡村新产业新业态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典型案例，水果产量同比增长</w:t>
      </w:r>
      <w:r>
        <w:rPr>
          <w:rFonts w:hint="default" w:ascii="Times New Roman" w:hAnsi="Times New Roman" w:eastAsia="仿宋_GB2312" w:cs="Times New Roman"/>
          <w:sz w:val="32"/>
          <w:szCs w:val="32"/>
          <w:lang w:val="en-US" w:eastAsia="zh-CN"/>
        </w:rPr>
        <w:t>15.9</w:t>
      </w:r>
      <w:r>
        <w:rPr>
          <w:rFonts w:hint="default" w:ascii="Times New Roman" w:hAnsi="Times New Roman" w:eastAsia="仿宋_GB2312" w:cs="Times New Roman"/>
          <w:sz w:val="32"/>
          <w:szCs w:val="32"/>
        </w:rPr>
        <w:t>%。冬春番茄成为红河谷—绿汁江优质蔬菜种植区最亮眼的新成果，酱菜原料种植规模出现明显增长，全县蔬菜产量同比增长5.7%。烤烟收入指标小幅下滑，均价排名全市第六，甘蔗、茶药等产业均稳固提升。</w:t>
      </w:r>
    </w:p>
    <w:p w14:paraId="5C0C9D1A">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（三）工业支撑持续增强。</w:t>
      </w:r>
      <w:r>
        <w:rPr>
          <w:rFonts w:hint="default" w:ascii="Times New Roman" w:hAnsi="Times New Roman" w:eastAsia="仿宋_GB2312" w:cs="Times New Roman"/>
          <w:sz w:val="32"/>
          <w:szCs w:val="32"/>
          <w:lang w:val="en-US" w:eastAsia="zh-CN"/>
        </w:rPr>
        <w:t>全力</w:t>
      </w:r>
      <w:r>
        <w:rPr>
          <w:rFonts w:hint="default" w:ascii="Times New Roman" w:hAnsi="Times New Roman" w:eastAsia="仿宋_GB2312" w:cs="Times New Roman"/>
          <w:sz w:val="32"/>
          <w:szCs w:val="32"/>
        </w:rPr>
        <w:t>聚焦工业倍增，着力延链补链强链，加快产业转型升级，</w:t>
      </w:r>
      <w:r>
        <w:rPr>
          <w:rFonts w:hint="default" w:ascii="Times New Roman" w:hAnsi="Times New Roman" w:eastAsia="仿宋_GB2312" w:cs="Times New Roman"/>
          <w:sz w:val="32"/>
          <w:szCs w:val="32"/>
          <w:lang w:val="en-US" w:eastAsia="zh-CN"/>
        </w:rPr>
        <w:t>预计</w:t>
      </w:r>
      <w:r>
        <w:rPr>
          <w:rFonts w:hint="default" w:ascii="Times New Roman" w:hAnsi="Times New Roman" w:eastAsia="仿宋_GB2312" w:cs="Times New Roman"/>
          <w:sz w:val="32"/>
          <w:szCs w:val="32"/>
        </w:rPr>
        <w:t>完成规模以上工业总产值</w:t>
      </w:r>
      <w:r>
        <w:rPr>
          <w:rFonts w:hint="default" w:ascii="Times New Roman" w:hAnsi="Times New Roman" w:eastAsia="仿宋_GB2312" w:cs="Times New Roman"/>
          <w:sz w:val="32"/>
          <w:szCs w:val="32"/>
          <w:lang w:val="en-US" w:eastAsia="zh-CN"/>
        </w:rPr>
        <w:t>438</w:t>
      </w:r>
      <w:r>
        <w:rPr>
          <w:rFonts w:hint="default" w:ascii="Times New Roman" w:hAnsi="Times New Roman" w:eastAsia="仿宋_GB2312" w:cs="Times New Roman"/>
          <w:sz w:val="32"/>
          <w:szCs w:val="32"/>
        </w:rPr>
        <w:t>亿元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同比增长4.4%</w:t>
      </w:r>
      <w:r>
        <w:rPr>
          <w:rFonts w:hint="default" w:ascii="Times New Roman" w:hAnsi="Times New Roman" w:eastAsia="仿宋_GB2312" w:cs="Times New Roman"/>
          <w:sz w:val="32"/>
          <w:szCs w:val="32"/>
        </w:rPr>
        <w:t>。企业服务、企业培育、要素保障等工作协同推进，仙福技改、80万吨球团生产线技改二期、正大钢管一期等项目相继建成投产；100万吨/年焦化、二道河矿段100万t/a采选、80万t/a地下采矿改扩建等项目有序推进；200万吨金属基复合材料、南恩搬迁改造转型升级项目</w:t>
      </w:r>
      <w:r>
        <w:rPr>
          <w:rFonts w:hint="default" w:ascii="Times New Roman" w:hAnsi="Times New Roman" w:eastAsia="仿宋_GB2312" w:cs="Times New Roman"/>
          <w:sz w:val="32"/>
          <w:szCs w:val="32"/>
          <w:lang w:val="en-US" w:eastAsia="zh-CN"/>
        </w:rPr>
        <w:t>开工建设</w:t>
      </w:r>
      <w:r>
        <w:rPr>
          <w:rFonts w:hint="default" w:ascii="Times New Roman" w:hAnsi="Times New Roman" w:eastAsia="仿宋_GB2312" w:cs="Times New Roman"/>
          <w:sz w:val="32"/>
          <w:szCs w:val="32"/>
        </w:rPr>
        <w:t>。德康饲料、五凌新能源、中电建新能源和正大钢管4户企业纳规入统</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新增规模以上工业企业8户，规模以上工业企业数量达45户，新的经济增量逐步形成。企业自主创新能力不断提升，</w:t>
      </w:r>
      <w:r>
        <w:rPr>
          <w:rFonts w:hint="default" w:ascii="Times New Roman" w:hAnsi="Times New Roman" w:eastAsia="仿宋_GB2312" w:cs="Times New Roman"/>
          <w:sz w:val="32"/>
          <w:szCs w:val="32"/>
          <w:lang w:val="en-US" w:eastAsia="zh-CN"/>
        </w:rPr>
        <w:t>完成</w:t>
      </w:r>
      <w:r>
        <w:rPr>
          <w:rFonts w:hint="default" w:ascii="Times New Roman" w:hAnsi="Times New Roman" w:eastAsia="仿宋_GB2312" w:cs="Times New Roman"/>
          <w:sz w:val="32"/>
          <w:szCs w:val="32"/>
        </w:rPr>
        <w:t>研发投入奖补资金</w:t>
      </w:r>
      <w:r>
        <w:rPr>
          <w:rFonts w:hint="default" w:ascii="Times New Roman" w:hAnsi="Times New Roman" w:eastAsia="仿宋_GB2312" w:cs="Times New Roman"/>
          <w:sz w:val="32"/>
          <w:szCs w:val="32"/>
          <w:lang w:val="en-US" w:eastAsia="zh-CN"/>
        </w:rPr>
        <w:t>8.14亿</w:t>
      </w:r>
      <w:r>
        <w:rPr>
          <w:rFonts w:hint="default" w:ascii="Times New Roman" w:hAnsi="Times New Roman" w:eastAsia="仿宋_GB2312" w:cs="Times New Roman"/>
          <w:sz w:val="32"/>
          <w:szCs w:val="32"/>
        </w:rPr>
        <w:t>元，</w:t>
      </w:r>
      <w:r>
        <w:rPr>
          <w:rFonts w:hint="default" w:ascii="Times New Roman" w:hAnsi="Times New Roman" w:eastAsia="仿宋_GB2312" w:cs="Times New Roman"/>
          <w:sz w:val="32"/>
          <w:szCs w:val="32"/>
          <w:lang w:val="en-US" w:eastAsia="zh-CN"/>
        </w:rPr>
        <w:t>研发投入强度</w:t>
      </w:r>
      <w:r>
        <w:rPr>
          <w:rFonts w:hint="default" w:ascii="Times New Roman" w:hAnsi="Times New Roman" w:eastAsia="仿宋_GB2312" w:cs="Times New Roman"/>
          <w:sz w:val="32"/>
          <w:szCs w:val="32"/>
        </w:rPr>
        <w:t>排名全市第一位；科技型企业培育持续加强，认定国家科技型中小企业9户、省科技型中小企业10户。数字经济基础</w:t>
      </w:r>
      <w:r>
        <w:rPr>
          <w:rFonts w:hint="default" w:ascii="Times New Roman" w:hAnsi="Times New Roman" w:eastAsia="仿宋_GB2312" w:cs="Times New Roman"/>
          <w:sz w:val="32"/>
          <w:szCs w:val="32"/>
          <w:lang w:val="en-US" w:eastAsia="zh-CN"/>
        </w:rPr>
        <w:t>不断</w:t>
      </w:r>
      <w:r>
        <w:rPr>
          <w:rFonts w:hint="default" w:ascii="Times New Roman" w:hAnsi="Times New Roman" w:eastAsia="仿宋_GB2312" w:cs="Times New Roman"/>
          <w:sz w:val="32"/>
          <w:szCs w:val="32"/>
        </w:rPr>
        <w:t>夯实，新建5G站点151个，累计建成758个。</w:t>
      </w:r>
    </w:p>
    <w:p w14:paraId="6B794E97">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（四）服务产业提质扩容。</w:t>
      </w:r>
      <w:r>
        <w:rPr>
          <w:rFonts w:hint="default" w:ascii="Times New Roman" w:hAnsi="Times New Roman" w:eastAsia="仿宋_GB2312" w:cs="Times New Roman"/>
          <w:sz w:val="32"/>
          <w:szCs w:val="32"/>
        </w:rPr>
        <w:t>加速构建现代服务产业体系，融合发展商旅文、吃住行、游购娱，服务产业</w:t>
      </w:r>
      <w:r>
        <w:rPr>
          <w:rFonts w:hint="default" w:ascii="Times New Roman" w:hAnsi="Times New Roman" w:eastAsia="仿宋_GB2312" w:cs="Times New Roman"/>
          <w:sz w:val="32"/>
          <w:szCs w:val="32"/>
          <w:lang w:val="en-US" w:eastAsia="zh-CN"/>
        </w:rPr>
        <w:t>实现</w:t>
      </w:r>
      <w:r>
        <w:rPr>
          <w:rFonts w:hint="default" w:ascii="Times New Roman" w:hAnsi="Times New Roman" w:eastAsia="仿宋_GB2312" w:cs="Times New Roman"/>
          <w:sz w:val="32"/>
          <w:szCs w:val="32"/>
        </w:rPr>
        <w:t>提质扩容，预计</w:t>
      </w:r>
      <w:r>
        <w:rPr>
          <w:rFonts w:hint="default" w:ascii="Times New Roman" w:hAnsi="Times New Roman" w:eastAsia="仿宋_GB2312" w:cs="Times New Roman"/>
          <w:sz w:val="32"/>
          <w:szCs w:val="32"/>
          <w:lang w:val="en-US" w:eastAsia="zh-CN"/>
        </w:rPr>
        <w:t>完成</w:t>
      </w:r>
      <w:r>
        <w:rPr>
          <w:rFonts w:hint="default" w:ascii="Times New Roman" w:hAnsi="Times New Roman" w:eastAsia="仿宋_GB2312" w:cs="Times New Roman"/>
          <w:sz w:val="32"/>
          <w:szCs w:val="32"/>
        </w:rPr>
        <w:t>第三产业增加值</w:t>
      </w:r>
      <w:r>
        <w:rPr>
          <w:rFonts w:hint="default" w:ascii="Times New Roman" w:hAnsi="Times New Roman" w:eastAsia="仿宋_GB2312" w:cs="Times New Roman"/>
          <w:sz w:val="32"/>
          <w:szCs w:val="32"/>
          <w:lang w:val="en-US" w:eastAsia="zh-CN"/>
        </w:rPr>
        <w:t>130.8</w:t>
      </w:r>
      <w:r>
        <w:rPr>
          <w:rFonts w:hint="default" w:ascii="Times New Roman" w:hAnsi="Times New Roman" w:eastAsia="仿宋_GB2312" w:cs="Times New Roman"/>
          <w:sz w:val="32"/>
          <w:szCs w:val="32"/>
        </w:rPr>
        <w:t>亿元，占GDP比重达45%。旅游业态不断丰富，开元森泊度假乐园一期和云筑泊境半山酒店2个项目正式营业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谋划南恩瀑布农文旅融合、哀牢山民宿群9个文旅项目；成功举办</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花街节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火把节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rPr>
        <w:t>5个县级系列节庆活动，助推旅游消费恢复增长；老厂金丝笋、磨刀特色腌制品、花腰箩卡叠装饰画、峨毛山</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茶叶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入选市级第二批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非遗伴手礼</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名单；新平花腰街建成运营，成为新的网红打卡点。释放消费潜力，激发市场活力，推进消费品以旧换新等促消费各项政策落地见效，居民消费需求持续释放，消费市场规模稳步扩大，多类商品销售回升向好，</w:t>
      </w:r>
      <w:r>
        <w:rPr>
          <w:rFonts w:hint="default" w:ascii="Times New Roman" w:hAnsi="Times New Roman" w:eastAsia="仿宋_GB2312" w:cs="Times New Roman"/>
          <w:sz w:val="32"/>
          <w:szCs w:val="32"/>
          <w:lang w:val="en-US" w:eastAsia="zh-CN"/>
        </w:rPr>
        <w:t>预计</w:t>
      </w:r>
      <w:r>
        <w:rPr>
          <w:rFonts w:hint="default" w:ascii="Times New Roman" w:hAnsi="Times New Roman" w:eastAsia="仿宋_GB2312" w:cs="Times New Roman"/>
          <w:sz w:val="32"/>
          <w:szCs w:val="32"/>
        </w:rPr>
        <w:t>实现社会消费品零售总额</w:t>
      </w:r>
      <w:r>
        <w:rPr>
          <w:rFonts w:hint="default" w:ascii="Times New Roman" w:hAnsi="Times New Roman" w:eastAsia="仿宋_GB2312" w:cs="Times New Roman"/>
          <w:sz w:val="32"/>
          <w:szCs w:val="32"/>
          <w:lang w:val="en-US" w:eastAsia="zh-CN"/>
        </w:rPr>
        <w:t>94.3</w:t>
      </w:r>
      <w:r>
        <w:rPr>
          <w:rFonts w:hint="default" w:ascii="Times New Roman" w:hAnsi="Times New Roman" w:eastAsia="仿宋_GB2312" w:cs="Times New Roman"/>
          <w:sz w:val="32"/>
          <w:szCs w:val="32"/>
        </w:rPr>
        <w:t>亿元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同比增长</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%。持续打造精品旅游线路，乡村旅游发展实现新突破，撬动游客和收入双丰收，全年接待游客650万人次，实现旅游花费70亿元，分别</w:t>
      </w:r>
      <w:r>
        <w:rPr>
          <w:rFonts w:hint="default" w:ascii="Times New Roman" w:hAnsi="Times New Roman" w:eastAsia="仿宋_GB2312" w:cs="Times New Roman"/>
          <w:sz w:val="32"/>
          <w:szCs w:val="32"/>
          <w:lang w:val="en-US" w:eastAsia="zh-CN"/>
        </w:rPr>
        <w:t>同比</w:t>
      </w:r>
      <w:r>
        <w:rPr>
          <w:rFonts w:hint="default" w:ascii="Times New Roman" w:hAnsi="Times New Roman" w:eastAsia="仿宋_GB2312" w:cs="Times New Roman"/>
          <w:sz w:val="32"/>
          <w:szCs w:val="32"/>
        </w:rPr>
        <w:t>增长14.2%、9.4%。批发零售、住宿餐饮快速增长，科技、金融、信息、电商等服务业齐头并进。</w:t>
      </w:r>
    </w:p>
    <w:p w14:paraId="75176741">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sz w:val="32"/>
          <w:szCs w:val="32"/>
        </w:rPr>
        <w:t>（五）园区经济快速发展。</w:t>
      </w:r>
      <w:r>
        <w:rPr>
          <w:rFonts w:hint="default" w:ascii="Times New Roman" w:hAnsi="Times New Roman" w:eastAsia="仿宋_GB2312" w:cs="Times New Roman"/>
          <w:sz w:val="32"/>
          <w:szCs w:val="32"/>
        </w:rPr>
        <w:t>聚焦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4+N</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重大</w:t>
      </w:r>
      <w:r>
        <w:rPr>
          <w:rFonts w:hint="default" w:ascii="Times New Roman" w:hAnsi="Times New Roman" w:eastAsia="仿宋_GB2312" w:cs="Times New Roman"/>
          <w:sz w:val="32"/>
          <w:szCs w:val="32"/>
          <w:lang w:val="en-US" w:eastAsia="zh-CN"/>
        </w:rPr>
        <w:t>工业</w:t>
      </w:r>
      <w:r>
        <w:rPr>
          <w:rFonts w:hint="default" w:ascii="Times New Roman" w:hAnsi="Times New Roman" w:eastAsia="仿宋_GB2312" w:cs="Times New Roman"/>
          <w:sz w:val="32"/>
          <w:szCs w:val="32"/>
        </w:rPr>
        <w:t>项目攻坚，加快构建园区现代化产业体系支撑，园区经济再上新台阶，预计</w:t>
      </w:r>
      <w:r>
        <w:rPr>
          <w:rFonts w:hint="default" w:ascii="Times New Roman" w:hAnsi="Times New Roman" w:eastAsia="仿宋_GB2312" w:cs="Times New Roman"/>
          <w:sz w:val="32"/>
          <w:szCs w:val="32"/>
          <w:lang w:val="en-US" w:eastAsia="zh-CN"/>
        </w:rPr>
        <w:t>实现</w:t>
      </w:r>
      <w:r>
        <w:rPr>
          <w:rFonts w:hint="default" w:ascii="Times New Roman" w:hAnsi="Times New Roman" w:eastAsia="仿宋_GB2312" w:cs="Times New Roman"/>
          <w:sz w:val="32"/>
          <w:szCs w:val="32"/>
        </w:rPr>
        <w:t>规模以上工业产值</w:t>
      </w:r>
      <w:r>
        <w:rPr>
          <w:rFonts w:hint="default" w:ascii="Times New Roman" w:hAnsi="Times New Roman" w:eastAsia="仿宋_GB2312" w:cs="Times New Roman"/>
          <w:sz w:val="32"/>
          <w:szCs w:val="32"/>
          <w:lang w:val="en-US" w:eastAsia="zh-CN"/>
        </w:rPr>
        <w:t>427</w:t>
      </w:r>
      <w:r>
        <w:rPr>
          <w:rFonts w:hint="default" w:ascii="Times New Roman" w:hAnsi="Times New Roman" w:eastAsia="仿宋_GB2312" w:cs="Times New Roman"/>
          <w:sz w:val="32"/>
          <w:szCs w:val="32"/>
        </w:rPr>
        <w:t>亿元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同比增长</w:t>
      </w:r>
      <w:r>
        <w:rPr>
          <w:rFonts w:hint="default" w:ascii="Times New Roman" w:hAnsi="Times New Roman" w:eastAsia="仿宋_GB2312" w:cs="Times New Roman"/>
          <w:sz w:val="32"/>
          <w:szCs w:val="32"/>
          <w:lang w:val="en-US" w:eastAsia="zh-CN"/>
        </w:rPr>
        <w:t>4.2</w:t>
      </w:r>
      <w:r>
        <w:rPr>
          <w:rFonts w:hint="default" w:ascii="Times New Roman" w:hAnsi="Times New Roman" w:eastAsia="仿宋_GB2312" w:cs="Times New Roman"/>
          <w:sz w:val="32"/>
          <w:szCs w:val="32"/>
        </w:rPr>
        <w:t>%。园区基础全面夯实，桂山片区产城融合基础设施建设项目竣工验收；绿色钢城片区基础设施建设项目稳步推进，山区地形制约工业发展的瓶颈</w:t>
      </w:r>
      <w:r>
        <w:rPr>
          <w:rFonts w:hint="default" w:ascii="Times New Roman" w:hAnsi="Times New Roman" w:eastAsia="仿宋_GB2312" w:cs="Times New Roman"/>
          <w:sz w:val="32"/>
          <w:szCs w:val="32"/>
          <w:lang w:val="en-US" w:eastAsia="zh-CN"/>
        </w:rPr>
        <w:t>逐步</w:t>
      </w:r>
      <w:r>
        <w:rPr>
          <w:rFonts w:hint="default" w:ascii="Times New Roman" w:hAnsi="Times New Roman" w:eastAsia="仿宋_GB2312" w:cs="Times New Roman"/>
          <w:sz w:val="32"/>
          <w:szCs w:val="32"/>
        </w:rPr>
        <w:t>破解，园区承载力和吸引力全面提升。</w:t>
      </w:r>
      <w:r>
        <w:rPr>
          <w:rFonts w:hint="default" w:ascii="Times New Roman" w:hAnsi="Times New Roman" w:eastAsia="仿宋_GB2312" w:cs="Times New Roman"/>
          <w:sz w:val="32"/>
          <w:szCs w:val="32"/>
          <w:lang w:val="en-US" w:eastAsia="zh-CN"/>
        </w:rPr>
        <w:t>服务体系更加健全，在全市率先创新建立“党工委主要领导集中月调度+部门联席协调商办+项目服务专员跟办”调度服务机制，正大制管项目建设跑出了“新平速度”。</w:t>
      </w:r>
      <w:r>
        <w:rPr>
          <w:rFonts w:hint="default" w:ascii="Times New Roman" w:hAnsi="Times New Roman" w:eastAsia="仿宋_GB2312" w:cs="Times New Roman"/>
          <w:sz w:val="32"/>
          <w:szCs w:val="32"/>
        </w:rPr>
        <w:t>坚持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集群+链式</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发展思维，园区招商成效明显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2024年重点储备项目34个</w:t>
      </w:r>
      <w:r>
        <w:rPr>
          <w:rFonts w:hint="default" w:ascii="Times New Roman" w:hAnsi="Times New Roman" w:eastAsia="仿宋_GB2312" w:cs="Times New Roman"/>
          <w:sz w:val="32"/>
          <w:szCs w:val="32"/>
          <w:lang w:eastAsia="zh-CN"/>
        </w:rPr>
        <w:t>。园区（含化念片区）批而未供土地完成处置525.84亩，处置率33.96%，超目标任务3.96个百分点。</w:t>
      </w:r>
    </w:p>
    <w:p w14:paraId="4981D207">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（六）发展后劲持续增强。</w:t>
      </w:r>
      <w:r>
        <w:rPr>
          <w:rFonts w:hint="default" w:ascii="Times New Roman" w:hAnsi="Times New Roman" w:eastAsia="仿宋_GB2312" w:cs="Times New Roman"/>
          <w:sz w:val="32"/>
          <w:szCs w:val="32"/>
          <w:lang w:val="en-US" w:eastAsia="zh-CN"/>
        </w:rPr>
        <w:t>全面</w:t>
      </w:r>
      <w:r>
        <w:rPr>
          <w:rFonts w:hint="default" w:ascii="Times New Roman" w:hAnsi="Times New Roman" w:eastAsia="仿宋_GB2312" w:cs="Times New Roman"/>
          <w:sz w:val="32"/>
          <w:szCs w:val="32"/>
        </w:rPr>
        <w:t>抓实项目储备管理、资金争取</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开工建设等关键环节，固定资产投资快速增长，发展后劲持续增强，全年</w:t>
      </w:r>
      <w:r>
        <w:rPr>
          <w:rFonts w:hint="default" w:ascii="Times New Roman" w:hAnsi="Times New Roman" w:eastAsia="仿宋_GB2312" w:cs="Times New Roman"/>
          <w:sz w:val="32"/>
          <w:szCs w:val="32"/>
          <w:lang w:val="en-US" w:eastAsia="zh-CN"/>
        </w:rPr>
        <w:t>预计</w:t>
      </w:r>
      <w:r>
        <w:rPr>
          <w:rFonts w:hint="default" w:ascii="Times New Roman" w:hAnsi="Times New Roman" w:eastAsia="仿宋_GB2312" w:cs="Times New Roman"/>
          <w:sz w:val="32"/>
          <w:szCs w:val="32"/>
        </w:rPr>
        <w:t>完成全口径投资</w:t>
      </w:r>
      <w:r>
        <w:rPr>
          <w:rFonts w:hint="default" w:ascii="Times New Roman" w:hAnsi="Times New Roman" w:eastAsia="仿宋_GB2312" w:cs="Times New Roman"/>
          <w:sz w:val="32"/>
          <w:szCs w:val="32"/>
          <w:lang w:val="en-US" w:eastAsia="zh-CN"/>
        </w:rPr>
        <w:t>75.6</w:t>
      </w:r>
      <w:r>
        <w:rPr>
          <w:rFonts w:hint="default" w:ascii="Times New Roman" w:hAnsi="Times New Roman" w:eastAsia="仿宋_GB2312" w:cs="Times New Roman"/>
          <w:sz w:val="32"/>
          <w:szCs w:val="32"/>
        </w:rPr>
        <w:t>亿元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同比增长</w:t>
      </w:r>
      <w:r>
        <w:rPr>
          <w:rFonts w:hint="default" w:ascii="Times New Roman" w:hAnsi="Times New Roman" w:eastAsia="仿宋_GB2312" w:cs="Times New Roman"/>
          <w:sz w:val="32"/>
          <w:szCs w:val="32"/>
          <w:lang w:val="en-US" w:eastAsia="zh-CN"/>
        </w:rPr>
        <w:t>34.6</w:t>
      </w:r>
      <w:r>
        <w:rPr>
          <w:rFonts w:hint="default" w:ascii="Times New Roman" w:hAnsi="Times New Roman" w:eastAsia="仿宋_GB2312" w:cs="Times New Roman"/>
          <w:sz w:val="32"/>
          <w:szCs w:val="32"/>
        </w:rPr>
        <w:t>%。入库数量显著增长，全年入库</w:t>
      </w:r>
      <w:r>
        <w:rPr>
          <w:rFonts w:hint="default" w:ascii="Times New Roman" w:hAnsi="Times New Roman" w:eastAsia="仿宋_GB2312" w:cs="Times New Roman"/>
          <w:sz w:val="32"/>
          <w:szCs w:val="32"/>
          <w:lang w:val="en-US" w:eastAsia="zh-CN"/>
        </w:rPr>
        <w:t>194</w:t>
      </w:r>
      <w:r>
        <w:rPr>
          <w:rFonts w:hint="default" w:ascii="Times New Roman" w:hAnsi="Times New Roman" w:eastAsia="仿宋_GB2312" w:cs="Times New Roman"/>
          <w:sz w:val="32"/>
          <w:szCs w:val="32"/>
        </w:rPr>
        <w:t>个项目，比上年增加</w:t>
      </w:r>
      <w:r>
        <w:rPr>
          <w:rFonts w:hint="default" w:ascii="Times New Roman" w:hAnsi="Times New Roman" w:eastAsia="仿宋_GB2312" w:cs="Times New Roman"/>
          <w:sz w:val="32"/>
          <w:szCs w:val="32"/>
          <w:lang w:val="en-US" w:eastAsia="zh-CN"/>
        </w:rPr>
        <w:t>48</w:t>
      </w:r>
      <w:r>
        <w:rPr>
          <w:rFonts w:hint="default" w:ascii="Times New Roman" w:hAnsi="Times New Roman" w:eastAsia="仿宋_GB2312" w:cs="Times New Roman"/>
          <w:sz w:val="32"/>
          <w:szCs w:val="32"/>
        </w:rPr>
        <w:t>个。资金争取取得重大突破，共争取中央和省预算内资金2.76亿元、地方政府专项债券资金3.47亿元。新能源建设成效显著，完成岩子脚、梭山等7个集中式光伏全容量并网；开工建设岩子脚二期、鲁奎山等4个集中式光伏项目；大田、勐丙、帽合3个集中式光伏项目前期工作正在推进；联兴风电场三期取得省发改委核准，哈科底风电二期入围省能源开发建设清单；玉溪市新平县锂离子电池储能示范项目开工建设。水利设施再上新台阶，洋发城水库扩建工程完工</w:t>
      </w:r>
      <w:r>
        <w:rPr>
          <w:rFonts w:hint="default" w:ascii="Times New Roman" w:hAnsi="Times New Roman" w:eastAsia="仿宋_GB2312" w:cs="Times New Roman"/>
          <w:sz w:val="32"/>
          <w:szCs w:val="32"/>
          <w:lang w:val="en-US" w:eastAsia="zh-CN"/>
        </w:rPr>
        <w:t>蓄水验收</w:t>
      </w:r>
      <w:r>
        <w:rPr>
          <w:rFonts w:hint="default" w:ascii="Times New Roman" w:hAnsi="Times New Roman" w:eastAsia="仿宋_GB2312" w:cs="Times New Roman"/>
          <w:sz w:val="32"/>
          <w:szCs w:val="32"/>
        </w:rPr>
        <w:t>，亚尼河水库开工建设，阿者河水库</w:t>
      </w:r>
      <w:r>
        <w:rPr>
          <w:rFonts w:hint="default" w:ascii="Times New Roman" w:hAnsi="Times New Roman" w:eastAsia="仿宋_GB2312" w:cs="Times New Roman"/>
          <w:sz w:val="32"/>
          <w:szCs w:val="32"/>
          <w:lang w:val="en-US" w:eastAsia="zh-CN"/>
        </w:rPr>
        <w:t>稳步推进</w:t>
      </w:r>
      <w:r>
        <w:rPr>
          <w:rFonts w:hint="default" w:ascii="Times New Roman" w:hAnsi="Times New Roman" w:eastAsia="仿宋_GB2312" w:cs="Times New Roman"/>
          <w:sz w:val="32"/>
          <w:szCs w:val="32"/>
        </w:rPr>
        <w:t>；农村</w:t>
      </w:r>
      <w:r>
        <w:rPr>
          <w:rFonts w:hint="default" w:ascii="Times New Roman" w:hAnsi="Times New Roman" w:eastAsia="仿宋_GB2312" w:cs="Times New Roman"/>
          <w:sz w:val="32"/>
          <w:szCs w:val="32"/>
          <w:lang w:val="en-US" w:eastAsia="zh-CN"/>
        </w:rPr>
        <w:t>供水</w:t>
      </w:r>
      <w:r>
        <w:rPr>
          <w:rFonts w:hint="default" w:ascii="Times New Roman" w:hAnsi="Times New Roman" w:eastAsia="仿宋_GB2312" w:cs="Times New Roman"/>
          <w:sz w:val="32"/>
          <w:szCs w:val="32"/>
        </w:rPr>
        <w:t>保障三年行动项目管</w:t>
      </w:r>
      <w:r>
        <w:rPr>
          <w:rFonts w:hint="default" w:ascii="Times New Roman" w:hAnsi="Times New Roman" w:eastAsia="仿宋_GB2312" w:cs="Times New Roman"/>
          <w:sz w:val="32"/>
          <w:szCs w:val="32"/>
          <w:lang w:val="en-US" w:eastAsia="zh-CN"/>
        </w:rPr>
        <w:t>网建设</w:t>
      </w:r>
      <w:r>
        <w:rPr>
          <w:rFonts w:hint="default" w:ascii="Times New Roman" w:hAnsi="Times New Roman" w:eastAsia="仿宋_GB2312" w:cs="Times New Roman"/>
          <w:sz w:val="32"/>
          <w:szCs w:val="32"/>
        </w:rPr>
        <w:t>和全域水网工程一期建设项目戛洒二水厂建设基本完工。综合交通枢纽加快形成，S45永金高速新平（戛洒）至元江（红光）段稳步推进，主动对接、积极配合省、市推进易门至新平高速公路、S45永金高速（双柏至新平段）、G5615天猴高速公路新平（戛洒）至镇沅（者东）前期工作。</w:t>
      </w:r>
    </w:p>
    <w:p w14:paraId="1F31C9FC">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sz w:val="32"/>
          <w:szCs w:val="32"/>
        </w:rPr>
        <w:t>（七）城乡发展更加协调。</w:t>
      </w:r>
      <w:r>
        <w:rPr>
          <w:rFonts w:hint="default" w:ascii="Times New Roman" w:hAnsi="Times New Roman" w:eastAsia="仿宋_GB2312" w:cs="Times New Roman"/>
          <w:sz w:val="32"/>
          <w:szCs w:val="32"/>
        </w:rPr>
        <w:t>县城品质不断提升，县城市政和环境基础设施补短板项目稳步推进，其中</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厨余垃圾末端处理已建成运营，其余9个项目正在</w:t>
      </w:r>
      <w:r>
        <w:rPr>
          <w:rFonts w:hint="default" w:ascii="Times New Roman" w:hAnsi="Times New Roman" w:eastAsia="仿宋_GB2312" w:cs="Times New Roman"/>
          <w:sz w:val="32"/>
          <w:szCs w:val="32"/>
          <w:lang w:val="en-US" w:eastAsia="zh-CN"/>
        </w:rPr>
        <w:t>稳步</w:t>
      </w:r>
      <w:r>
        <w:rPr>
          <w:rFonts w:hint="default" w:ascii="Times New Roman" w:hAnsi="Times New Roman" w:eastAsia="仿宋_GB2312" w:cs="Times New Roman"/>
          <w:sz w:val="32"/>
          <w:szCs w:val="32"/>
        </w:rPr>
        <w:t>推进；燃气管道等老化更新改造项目开工建设；县城市排水设施补短板建设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生活垃圾焚烧处置等项目稳步推进；国家卫生县城创建成果持续巩固，县城面貌更亮、更新、更美，干净、整洁、有序的生活环境受到社会各界高度评价。集镇品质不断提升，戛洒集镇基础设施补短板行动扎实推进，新街农贸市场、戛洒农贸市场提升改造、南线河河滨公园建设等项目竣工验收；老厂乡乡镇物流中心建设项目、河滨路建设项目、振兴大桥建设项目</w:t>
      </w:r>
      <w:r>
        <w:rPr>
          <w:rFonts w:hint="default" w:ascii="Times New Roman" w:hAnsi="Times New Roman" w:eastAsia="仿宋_GB2312" w:cs="Times New Roman"/>
          <w:sz w:val="32"/>
          <w:szCs w:val="32"/>
          <w:lang w:val="en-US" w:eastAsia="zh-CN"/>
        </w:rPr>
        <w:t>加快</w:t>
      </w:r>
      <w:r>
        <w:rPr>
          <w:rFonts w:hint="default" w:ascii="Times New Roman" w:hAnsi="Times New Roman" w:eastAsia="仿宋_GB2312" w:cs="Times New Roman"/>
          <w:sz w:val="32"/>
          <w:szCs w:val="32"/>
        </w:rPr>
        <w:t>推进</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者竜乡完成文化广场扩容增效改造</w:t>
      </w:r>
      <w:r>
        <w:rPr>
          <w:rFonts w:hint="default" w:ascii="Times New Roman" w:hAnsi="Times New Roman" w:eastAsia="仿宋_GB2312" w:cs="Times New Roman"/>
          <w:sz w:val="32"/>
          <w:szCs w:val="32"/>
        </w:rPr>
        <w:t>。和美乡村展现新容，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千万工程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全面开展，基础设施建设、环境卫生整治、生态环境保护等方面取得显著成效</w:t>
      </w:r>
      <w:r>
        <w:rPr>
          <w:rFonts w:hint="default" w:ascii="Times New Roman" w:hAnsi="Times New Roman" w:eastAsia="仿宋_GB2312" w:cs="Times New Roman"/>
          <w:sz w:val="32"/>
          <w:szCs w:val="32"/>
          <w:lang w:eastAsia="zh-CN"/>
        </w:rPr>
        <w:t>。</w:t>
      </w:r>
    </w:p>
    <w:p w14:paraId="3D5FF17A">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（八）生态环境持续向好。</w:t>
      </w:r>
      <w:r>
        <w:rPr>
          <w:rFonts w:hint="default" w:ascii="Times New Roman" w:hAnsi="Times New Roman" w:eastAsia="仿宋_GB2312" w:cs="Times New Roman"/>
          <w:sz w:val="32"/>
          <w:szCs w:val="32"/>
        </w:rPr>
        <w:t>严格落实</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三线一单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分区管控、环境影响评价及</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三同时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制度，系统化精细化管理生态环境，全年完成项目环评审批</w:t>
      </w:r>
      <w:r>
        <w:rPr>
          <w:rFonts w:hint="default" w:ascii="Times New Roman" w:hAnsi="Times New Roman" w:eastAsia="仿宋_GB2312" w:cs="Times New Roman"/>
          <w:sz w:val="32"/>
          <w:szCs w:val="32"/>
          <w:lang w:val="en-US" w:eastAsia="zh-CN"/>
        </w:rPr>
        <w:t>19</w:t>
      </w:r>
      <w:r>
        <w:rPr>
          <w:rFonts w:hint="default" w:ascii="Times New Roman" w:hAnsi="Times New Roman" w:eastAsia="仿宋_GB2312" w:cs="Times New Roman"/>
          <w:sz w:val="32"/>
          <w:szCs w:val="32"/>
        </w:rPr>
        <w:t>件，登记备案</w:t>
      </w:r>
      <w:r>
        <w:rPr>
          <w:rFonts w:hint="default" w:ascii="Times New Roman" w:hAnsi="Times New Roman" w:eastAsia="仿宋_GB2312" w:cs="Times New Roman"/>
          <w:sz w:val="32"/>
          <w:szCs w:val="32"/>
          <w:lang w:val="en-US" w:eastAsia="zh-CN"/>
        </w:rPr>
        <w:t>33</w:t>
      </w:r>
      <w:r>
        <w:rPr>
          <w:rFonts w:hint="default" w:ascii="Times New Roman" w:hAnsi="Times New Roman" w:eastAsia="仿宋_GB2312" w:cs="Times New Roman"/>
          <w:sz w:val="32"/>
          <w:szCs w:val="32"/>
        </w:rPr>
        <w:t>件。第二轮中央生态环境保护督察反馈问题整改、第二轮省生态环境保护督察反馈问题整改和第三轮中央生态环境保护督察反馈问题整改有序推进。春夏季大气污染综合治理攻坚工作纵深推进，大气污染得到有效防治；红河水系保护修复持续深化，</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2个乡镇级水源地保护项目完成总工程量</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0%；17个乡镇级以下集中式饮用水水源保护区划定方案已通过专家评审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正在开展社会风险评估</w:t>
      </w:r>
      <w:r>
        <w:rPr>
          <w:rFonts w:hint="default" w:ascii="Times New Roman" w:hAnsi="Times New Roman" w:eastAsia="仿宋_GB2312" w:cs="Times New Roman"/>
          <w:sz w:val="32"/>
          <w:szCs w:val="32"/>
        </w:rPr>
        <w:t>；土壤污染源有效管控，完成5个项目建设用地土壤污染状况调查；县城环境空气质量优良率为99.</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%，县城和乡镇级集中式饮用水</w:t>
      </w:r>
      <w:r>
        <w:rPr>
          <w:rFonts w:hint="default" w:ascii="Times New Roman" w:hAnsi="Times New Roman" w:eastAsia="仿宋_GB2312" w:cs="Times New Roman"/>
          <w:sz w:val="32"/>
          <w:szCs w:val="32"/>
          <w:lang w:val="en-US" w:eastAsia="zh-CN"/>
        </w:rPr>
        <w:t>水</w:t>
      </w:r>
      <w:r>
        <w:rPr>
          <w:rFonts w:hint="default" w:ascii="Times New Roman" w:hAnsi="Times New Roman" w:eastAsia="仿宋_GB2312" w:cs="Times New Roman"/>
          <w:sz w:val="32"/>
          <w:szCs w:val="32"/>
        </w:rPr>
        <w:t>源地水质达标率均为100%，县城功能区声环境质量达标率为100%，县域生态环境质量稳中向好</w:t>
      </w:r>
      <w:r>
        <w:rPr>
          <w:rFonts w:hint="default" w:ascii="Times New Roman" w:hAnsi="Times New Roman" w:eastAsia="仿宋_GB2312" w:cs="Times New Roman"/>
          <w:sz w:val="32"/>
          <w:szCs w:val="32"/>
          <w:lang w:eastAsia="zh-CN"/>
        </w:rPr>
        <w:t>，省级生态文明县通过复核，被命名为省级生态文明建设示范区，</w:t>
      </w:r>
      <w:r>
        <w:rPr>
          <w:rFonts w:hint="default" w:ascii="Times New Roman" w:hAnsi="Times New Roman" w:eastAsia="仿宋_GB2312" w:cs="Times New Roman"/>
          <w:sz w:val="32"/>
          <w:szCs w:val="32"/>
        </w:rPr>
        <w:t>城乡绿美三年行动进展有序，完成植树83021株，完成绿化面积104.6万平方米；林长制、河长制责任全面落实，全县三级林长巡林7693次，三级河长巡河3571次。营造林项目有序实施，森林和草原防灭火等工作稳步推进，全县森林覆盖率达61.99%。</w:t>
      </w:r>
    </w:p>
    <w:p w14:paraId="54CAFAE9">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（九）市场活力充分激发。</w:t>
      </w:r>
      <w:r>
        <w:rPr>
          <w:rFonts w:hint="default" w:ascii="Times New Roman" w:hAnsi="Times New Roman" w:eastAsia="仿宋_GB2312" w:cs="Times New Roman"/>
          <w:sz w:val="32"/>
          <w:szCs w:val="32"/>
        </w:rPr>
        <w:t>营商环境稳步提升，全力打响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创新服务、用心为企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新心相印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服务品牌；设立2个营商环境前哨站、聘任2名营商环境观察员，走访企业26次、解决问题23条、办结投诉平台举报</w:t>
      </w:r>
      <w:r>
        <w:rPr>
          <w:rFonts w:hint="eastAsia"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rPr>
        <w:t>件。政务服务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微改革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持续开展，周六</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早市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延时、错时服务，不动产交易、缴税、登记线上</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一窗受理、并行办理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rPr>
        <w:t>机制全面展开。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高效办成一件事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成效凸显</w:t>
      </w:r>
      <w:r>
        <w:rPr>
          <w:rFonts w:hint="default" w:ascii="Times New Roman" w:hAnsi="Times New Roman" w:eastAsia="仿宋_GB2312" w:cs="Times New Roman"/>
          <w:sz w:val="32"/>
          <w:szCs w:val="32"/>
        </w:rPr>
        <w:t>，完成企业信息变更、信用修复等</w:t>
      </w:r>
      <w:r>
        <w:rPr>
          <w:rFonts w:hint="default" w:ascii="Times New Roman" w:hAnsi="Times New Roman" w:eastAsia="仿宋_GB2312" w:cs="Times New Roman"/>
          <w:sz w:val="32"/>
          <w:szCs w:val="32"/>
          <w:lang w:val="en-US" w:eastAsia="zh-CN"/>
        </w:rPr>
        <w:t>18</w:t>
      </w:r>
      <w:r>
        <w:rPr>
          <w:rFonts w:hint="default" w:ascii="Times New Roman" w:hAnsi="Times New Roman" w:eastAsia="仿宋_GB2312" w:cs="Times New Roman"/>
          <w:sz w:val="32"/>
          <w:szCs w:val="32"/>
        </w:rPr>
        <w:t>个</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一件事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办件</w:t>
      </w:r>
      <w:r>
        <w:rPr>
          <w:rFonts w:hint="default" w:ascii="Times New Roman" w:hAnsi="Times New Roman" w:eastAsia="仿宋_GB2312" w:cs="Times New Roman"/>
          <w:sz w:val="32"/>
          <w:szCs w:val="32"/>
          <w:lang w:val="en-US" w:eastAsia="zh-CN"/>
        </w:rPr>
        <w:t>18991</w:t>
      </w:r>
      <w:r>
        <w:rPr>
          <w:rFonts w:hint="default" w:ascii="Times New Roman" w:hAnsi="Times New Roman" w:eastAsia="仿宋_GB2312" w:cs="Times New Roman"/>
          <w:sz w:val="32"/>
          <w:szCs w:val="32"/>
        </w:rPr>
        <w:t>件。各项改革统筹推进，乡镇（街道）赋权事项共办理行政许可事项225件（宅基地审批）、行政处罚事项85件，基层治理能力和水平不断提升</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靠前开展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帮办代办</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服务，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交地即开工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竣工即投产</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审批</w:t>
      </w:r>
      <w:r>
        <w:rPr>
          <w:rFonts w:hint="default" w:ascii="Times New Roman" w:hAnsi="Times New Roman" w:eastAsia="仿宋_GB2312" w:cs="Times New Roman"/>
          <w:sz w:val="32"/>
          <w:szCs w:val="32"/>
          <w:lang w:val="en-US" w:eastAsia="zh-CN"/>
        </w:rPr>
        <w:t>服务</w:t>
      </w:r>
      <w:r>
        <w:rPr>
          <w:rFonts w:hint="default" w:ascii="Times New Roman" w:hAnsi="Times New Roman" w:eastAsia="仿宋_GB2312" w:cs="Times New Roman"/>
          <w:sz w:val="32"/>
          <w:szCs w:val="32"/>
        </w:rPr>
        <w:t>模式成功落地；推出一次性告知、一表申请等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六个一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改革举措，企业登记申请材料由12份压减至5份，办理时限由3个工作日压减至0.5个工作日。对外开放不断深化，制定《新平县加快农产品基地备案工作的实施方案》，完成农产品出口基地备案材料申报64户，通过备案认定21户、面积1.2万亩；引进云南登硕进出口贸易有限公司落户新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成立新平硕益国际供应链管理有限公司，全程服务指导新平橙果农业科技有限公司首次独立完成全流程批量出口</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新平橙</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25吨销往加拿大；云南田耕供应链管理有限责任公司、云南正大钢管有限公司2户企业新增注册具备开展进出口业务。</w:t>
      </w:r>
    </w:p>
    <w:p w14:paraId="6FB5560B">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sz w:val="32"/>
          <w:szCs w:val="32"/>
        </w:rPr>
        <w:t>（十）社会民生全面改善。</w:t>
      </w:r>
      <w:r>
        <w:rPr>
          <w:rFonts w:hint="default" w:ascii="Times New Roman" w:hAnsi="Times New Roman" w:eastAsia="仿宋_GB2312" w:cs="Times New Roman"/>
          <w:sz w:val="32"/>
          <w:szCs w:val="32"/>
        </w:rPr>
        <w:t>今年以来，腾出资金保基本民生，共安排社会救助资金7052万元、计划生育补助和基本公共卫生服务资金3318万元、社会福利补助资金1618万元、保障性住房资金7624万元、拥军优属及优抚对象生活补助资金2421万元、就业资金1130万元、教育支出55274万元。就业保障能力不断增强，实现城镇新增就业</w:t>
      </w:r>
      <w:r>
        <w:rPr>
          <w:rFonts w:hint="default" w:ascii="Times New Roman" w:hAnsi="Times New Roman" w:eastAsia="仿宋_GB2312" w:cs="Times New Roman"/>
          <w:sz w:val="32"/>
          <w:szCs w:val="32"/>
          <w:lang w:val="en-US" w:eastAsia="zh-CN"/>
        </w:rPr>
        <w:t>2269</w:t>
      </w:r>
      <w:r>
        <w:rPr>
          <w:rFonts w:hint="default" w:ascii="Times New Roman" w:hAnsi="Times New Roman" w:eastAsia="仿宋_GB2312" w:cs="Times New Roman"/>
          <w:sz w:val="32"/>
          <w:szCs w:val="32"/>
        </w:rPr>
        <w:t>人、城镇失业再就业400人、就业困难人员就业542人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社保、医保覆盖面总体稳定，参加基本养老保险人数</w:t>
      </w:r>
      <w:r>
        <w:rPr>
          <w:rFonts w:hint="default" w:ascii="Times New Roman" w:hAnsi="Times New Roman" w:eastAsia="仿宋_GB2312" w:cs="Times New Roman"/>
          <w:sz w:val="32"/>
          <w:szCs w:val="32"/>
          <w:lang w:val="en-US" w:eastAsia="zh-CN"/>
        </w:rPr>
        <w:t>22.03</w:t>
      </w:r>
      <w:r>
        <w:rPr>
          <w:rFonts w:hint="default" w:ascii="Times New Roman" w:hAnsi="Times New Roman" w:eastAsia="仿宋_GB2312" w:cs="Times New Roman"/>
          <w:sz w:val="32"/>
          <w:szCs w:val="32"/>
        </w:rPr>
        <w:t>万人，城乡居民参加基本医疗保险人数</w:t>
      </w:r>
      <w:r>
        <w:rPr>
          <w:rFonts w:hint="default" w:ascii="Times New Roman" w:hAnsi="Times New Roman" w:eastAsia="仿宋_GB2312" w:cs="Times New Roman"/>
          <w:sz w:val="32"/>
          <w:szCs w:val="32"/>
          <w:lang w:val="en-US" w:eastAsia="zh-CN"/>
        </w:rPr>
        <w:t>26.57</w:t>
      </w:r>
      <w:r>
        <w:rPr>
          <w:rFonts w:hint="default" w:ascii="Times New Roman" w:hAnsi="Times New Roman" w:eastAsia="仿宋_GB2312" w:cs="Times New Roman"/>
          <w:sz w:val="32"/>
          <w:szCs w:val="32"/>
        </w:rPr>
        <w:t>万人。养老服务体系建设加快推进，青龙、锦秀社区老年幸福食堂建成并投入运营，曼哈社区、拉博村居家养老服务中心主体工程完工，老厂区域养老服务中心及腰街社区居家养老服务中心项目前期工作顺利开展。教育资源不断优化提升，完成特殊学校项目建设并招生办学；新化中心学校校舍维修项目建成投入使用；戛洒第一中学建设项目（二期）、者竜中学学生宿舍、第四小学扩建项目完成提级论证；新平一中（三期）建设项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县职业高级中学食堂及报告厅建设项目全速加快推进。就医条件显著改善，完成县级医院临床专科建设、临床服务五大中心及急诊急救五大中心流程改造；县人民医院门诊医技综合楼、托育服务示范园新平分园、妇幼保健计划生育服务中心二期稳步推进。高度重视民族宗教、社会治安、禁毒防艾、安全生产、食品药品安全和应急管理工作，平安新平建设成效显著，社会保持和谐稳定。文化</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体育、统计、武装、双拥、气象、保密、人防、残联、老龄、档案、地方志、共青团、工商联、外事侨务、防震减灾、妇女儿童、红十字会、物资储备、水库移民等工作取得新进步</w:t>
      </w:r>
      <w:r>
        <w:rPr>
          <w:rFonts w:hint="default" w:ascii="Times New Roman" w:hAnsi="Times New Roman" w:eastAsia="仿宋_GB2312" w:cs="Times New Roman"/>
          <w:sz w:val="32"/>
          <w:szCs w:val="32"/>
          <w:lang w:eastAsia="zh-CN"/>
        </w:rPr>
        <w:t>，社会民生全面改善。</w:t>
      </w:r>
    </w:p>
    <w:p w14:paraId="117B0C12">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在肯定成绩的同时，我们也看到</w:t>
      </w:r>
      <w:r>
        <w:rPr>
          <w:rFonts w:hint="default" w:ascii="Times New Roman" w:hAnsi="Times New Roman" w:eastAsia="仿宋_GB2312" w:cs="Times New Roman"/>
          <w:sz w:val="32"/>
          <w:szCs w:val="32"/>
          <w:lang w:val="en-US" w:eastAsia="zh-CN"/>
        </w:rPr>
        <w:t>意识</w:t>
      </w:r>
      <w:r>
        <w:rPr>
          <w:rFonts w:hint="default" w:ascii="Times New Roman" w:hAnsi="Times New Roman" w:eastAsia="仿宋_GB2312" w:cs="Times New Roman"/>
          <w:sz w:val="32"/>
          <w:szCs w:val="32"/>
        </w:rPr>
        <w:t>到，我县经济社会发展处在动能转换、结构调整、方式转变的关键时期，一些问题亟需解决</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一是</w:t>
      </w:r>
      <w:r>
        <w:rPr>
          <w:rFonts w:hint="default" w:ascii="Times New Roman" w:hAnsi="Times New Roman" w:eastAsia="仿宋_GB2312" w:cs="Times New Roman"/>
          <w:b w:val="0"/>
          <w:bCs w:val="0"/>
          <w:sz w:val="32"/>
          <w:szCs w:val="32"/>
        </w:rPr>
        <w:t>产业基础较为薄弱。新兴产业支撑不足，企业生产经营困难较多；消费基础作用和投资关键作用发挥还不充分</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二是</w:t>
      </w:r>
      <w:r>
        <w:rPr>
          <w:rFonts w:hint="default" w:ascii="Times New Roman" w:hAnsi="Times New Roman" w:eastAsia="仿宋_GB2312" w:cs="Times New Roman"/>
          <w:b w:val="0"/>
          <w:bCs w:val="0"/>
          <w:sz w:val="32"/>
          <w:szCs w:val="32"/>
        </w:rPr>
        <w:t>财政收支矛盾突出。收入增长乏力，刚性支出不减，收支平衡难度大</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民生短板有待补齐。</w:t>
      </w:r>
      <w:r>
        <w:rPr>
          <w:rFonts w:hint="default" w:ascii="Times New Roman" w:hAnsi="Times New Roman" w:eastAsia="仿宋_GB2312" w:cs="Times New Roman"/>
          <w:b w:val="0"/>
          <w:bCs w:val="0"/>
          <w:sz w:val="32"/>
          <w:szCs w:val="32"/>
          <w:lang w:val="en-US" w:eastAsia="zh-CN"/>
        </w:rPr>
        <w:t>三是</w:t>
      </w:r>
      <w:r>
        <w:rPr>
          <w:rFonts w:hint="default" w:ascii="Times New Roman" w:hAnsi="Times New Roman" w:eastAsia="仿宋_GB2312" w:cs="Times New Roman"/>
          <w:b w:val="0"/>
          <w:bCs w:val="0"/>
          <w:sz w:val="32"/>
          <w:szCs w:val="32"/>
        </w:rPr>
        <w:t>医疗卫生、</w:t>
      </w:r>
      <w:r>
        <w:rPr>
          <w:rFonts w:hint="default" w:ascii="Times New Roman" w:hAnsi="Times New Roman" w:eastAsia="仿宋_GB2312" w:cs="Times New Roman"/>
          <w:sz w:val="32"/>
          <w:szCs w:val="32"/>
        </w:rPr>
        <w:t>教育文化、养老托育等优质资源供给不平衡不充分，与人民群众对美好生活的向往和期待仍有差距。对此，我们既要正视困难，也要坚定信心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在今后工作中采取有效措施，切实加以解决。</w:t>
      </w:r>
    </w:p>
    <w:p w14:paraId="6B8D72AE">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二、2025年国民经济和社会发展计划</w:t>
      </w:r>
    </w:p>
    <w:p w14:paraId="248D6746">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2025年是“</w:t>
      </w:r>
      <w:r>
        <w:rPr>
          <w:rFonts w:hint="default" w:ascii="Times New Roman" w:hAnsi="Times New Roman" w:eastAsia="仿宋_GB2312" w:cs="Times New Roman"/>
          <w:sz w:val="32"/>
          <w:szCs w:val="32"/>
        </w:rPr>
        <w:t>十四</w:t>
      </w:r>
      <w:r>
        <w:rPr>
          <w:rFonts w:hint="default"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rPr>
        <w:t>规划收官之年，</w:t>
      </w:r>
      <w:r>
        <w:rPr>
          <w:rFonts w:hint="default" w:ascii="Times New Roman" w:hAnsi="Times New Roman" w:eastAsia="仿宋_GB2312" w:cs="Times New Roman"/>
          <w:sz w:val="32"/>
          <w:szCs w:val="32"/>
          <w:lang w:val="en-US" w:eastAsia="zh-CN"/>
        </w:rPr>
        <w:t>是“3815”战略发展目标“三年上台阶”的实现之年和系列三年行动的决战决胜之年，</w:t>
      </w:r>
      <w:r>
        <w:rPr>
          <w:rFonts w:hint="default" w:ascii="Times New Roman" w:hAnsi="Times New Roman" w:eastAsia="仿宋_GB2312" w:cs="Times New Roman"/>
          <w:sz w:val="32"/>
          <w:szCs w:val="32"/>
        </w:rPr>
        <w:t>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十五五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规划谋篇之年，</w:t>
      </w:r>
      <w:r>
        <w:rPr>
          <w:rFonts w:hint="default" w:ascii="Times New Roman" w:hAnsi="Times New Roman" w:eastAsia="仿宋_GB2312" w:cs="Times New Roman"/>
          <w:sz w:val="32"/>
          <w:szCs w:val="32"/>
          <w:lang w:val="en-US" w:eastAsia="zh-CN"/>
        </w:rPr>
        <w:t>也是奋进新时代进一步全面深化改革新征程的重要之年，</w:t>
      </w:r>
      <w:r>
        <w:rPr>
          <w:rFonts w:hint="default" w:ascii="Times New Roman" w:hAnsi="Times New Roman" w:eastAsia="仿宋_GB2312" w:cs="Times New Roman"/>
          <w:sz w:val="32"/>
          <w:szCs w:val="32"/>
        </w:rPr>
        <w:t>做好经济工作至关重要。</w:t>
      </w:r>
      <w:r>
        <w:rPr>
          <w:rFonts w:hint="default" w:ascii="Times New Roman" w:hAnsi="Times New Roman" w:eastAsia="仿宋_GB2312" w:cs="Times New Roman"/>
          <w:sz w:val="32"/>
          <w:szCs w:val="32"/>
          <w:lang w:val="en-US" w:eastAsia="zh-CN"/>
        </w:rPr>
        <w:t>全县上下</w:t>
      </w:r>
      <w:r>
        <w:rPr>
          <w:rFonts w:hint="default" w:ascii="Times New Roman" w:hAnsi="Times New Roman" w:eastAsia="仿宋_GB2312" w:cs="Times New Roman"/>
          <w:sz w:val="32"/>
          <w:szCs w:val="32"/>
        </w:rPr>
        <w:t>要鼓足干劲、坚定信心、苦干实干、奋勇争先，坚决贯彻落实党中央、国务院、省委省政府、市委市政府决策部署，落实落细县委十三届</w:t>
      </w:r>
      <w:r>
        <w:rPr>
          <w:rFonts w:hint="default" w:ascii="Times New Roman" w:hAnsi="Times New Roman" w:eastAsia="仿宋_GB2312" w:cs="Times New Roman"/>
          <w:sz w:val="32"/>
          <w:szCs w:val="32"/>
          <w:lang w:val="en-US" w:eastAsia="zh-CN"/>
        </w:rPr>
        <w:t>十次</w:t>
      </w:r>
      <w:r>
        <w:rPr>
          <w:rFonts w:hint="default" w:ascii="Times New Roman" w:hAnsi="Times New Roman" w:eastAsia="仿宋_GB2312" w:cs="Times New Roman"/>
          <w:sz w:val="32"/>
          <w:szCs w:val="32"/>
        </w:rPr>
        <w:t>全会精神，确保全面实现全年经济社会发展目标。</w:t>
      </w:r>
    </w:p>
    <w:p w14:paraId="3D422463">
      <w:pPr>
        <w:keepNext w:val="0"/>
        <w:keepLines w:val="0"/>
        <w:pageBreakBefore w:val="0"/>
        <w:widowControl w:val="0"/>
        <w:kinsoku/>
        <w:wordWrap/>
        <w:overflowPunct/>
        <w:topLinePunct w:val="0"/>
        <w:autoSpaceDE/>
        <w:autoSpaceDN/>
        <w:bidi w:val="0"/>
        <w:adjustRightInd/>
        <w:snapToGrid/>
        <w:spacing w:line="570" w:lineRule="exact"/>
        <w:ind w:right="0" w:righ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经济社会发展总体思路：</w:t>
      </w:r>
      <w:r>
        <w:rPr>
          <w:rFonts w:hint="default" w:ascii="Times New Roman" w:hAnsi="Times New Roman" w:eastAsia="仿宋_GB2312" w:cs="Times New Roman"/>
          <w:sz w:val="32"/>
          <w:szCs w:val="32"/>
        </w:rPr>
        <w:t>以习近平新时代中国特色社会主义思想为指导，全面贯彻党的二十大和二十届二中、三中全会精神，深入贯彻习近平总书记考察云南重要讲话精神和重要指示批示精神，认真落实省委十一届七次全会、省委经济工作会议、市委六届九次全会、市委经济工作会议和县委十三届十次全会精神，全面贯彻党的基本理论、基本路线、基本方略，坚持稳中求进工作总基调，完整准确贯彻新发展理念，主动服务和融入新发展格局，扎实推动高质量发展，千方百计强信心、稳预期、化风险、保民生、促发展，巩固和增强经济稳中有进态势，奋力推进中国式现代化新平实践。</w:t>
      </w:r>
    </w:p>
    <w:p w14:paraId="10459957">
      <w:pPr>
        <w:keepNext w:val="0"/>
        <w:keepLines w:val="0"/>
        <w:pageBreakBefore w:val="0"/>
        <w:widowControl w:val="0"/>
        <w:kinsoku/>
        <w:wordWrap/>
        <w:overflowPunct/>
        <w:topLinePunct w:val="0"/>
        <w:autoSpaceDE/>
        <w:autoSpaceDN/>
        <w:bidi w:val="0"/>
        <w:adjustRightInd/>
        <w:snapToGrid/>
        <w:spacing w:line="570" w:lineRule="exact"/>
        <w:ind w:right="0" w:rightChars="0"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主要经济社会指标建议：</w:t>
      </w:r>
    </w:p>
    <w:p w14:paraId="1532270B">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坚持立足当前、着眼长远，兼顾需要与可能，充分考虑指标支撑性、匹配性、必要性，突出积极向上、奋发有为，与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十四五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规划目标充分衔接，提出202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年全县经济社会发展24个目标。详见</w:t>
      </w:r>
      <w:r>
        <w:rPr>
          <w:rFonts w:hint="default" w:ascii="Times New Roman" w:hAnsi="Times New Roman" w:eastAsia="仿宋_GB2312" w:cs="Times New Roman"/>
          <w:sz w:val="32"/>
          <w:szCs w:val="32"/>
          <w:lang w:val="en-US" w:eastAsia="zh-CN"/>
        </w:rPr>
        <w:t>附件</w:t>
      </w:r>
      <w:r>
        <w:rPr>
          <w:rFonts w:hint="default" w:ascii="Times New Roman" w:hAnsi="Times New Roman" w:eastAsia="仿宋_GB2312" w:cs="Times New Roman"/>
          <w:sz w:val="32"/>
          <w:szCs w:val="32"/>
        </w:rPr>
        <w:t>1。</w:t>
      </w:r>
    </w:p>
    <w:p w14:paraId="1FE299F5">
      <w:pPr>
        <w:keepNext w:val="0"/>
        <w:keepLines w:val="0"/>
        <w:pageBreakBefore w:val="0"/>
        <w:widowControl w:val="0"/>
        <w:kinsoku/>
        <w:wordWrap/>
        <w:overflowPunct/>
        <w:topLinePunct w:val="0"/>
        <w:autoSpaceDE/>
        <w:autoSpaceDN/>
        <w:bidi w:val="0"/>
        <w:adjustRightInd/>
        <w:snapToGrid/>
        <w:spacing w:line="570" w:lineRule="exact"/>
        <w:ind w:right="0" w:righ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——地区生产总值增长6%左右。</w:t>
      </w:r>
      <w:r>
        <w:rPr>
          <w:rFonts w:hint="default" w:ascii="Times New Roman" w:hAnsi="Times New Roman" w:eastAsia="仿宋_GB2312" w:cs="Times New Roman"/>
          <w:sz w:val="32"/>
          <w:szCs w:val="32"/>
        </w:rPr>
        <w:t>主要考虑：高原特色农业保持平稳较快发展，一批重大工业项目将陆续形成产能，支撑显著提升，以旅游业为重点的服务业进入全面复苏周期，有望实现加速反弹。</w:t>
      </w:r>
    </w:p>
    <w:p w14:paraId="29810E7D">
      <w:pPr>
        <w:keepNext w:val="0"/>
        <w:keepLines w:val="0"/>
        <w:pageBreakBefore w:val="0"/>
        <w:widowControl w:val="0"/>
        <w:kinsoku/>
        <w:wordWrap/>
        <w:overflowPunct/>
        <w:topLinePunct w:val="0"/>
        <w:autoSpaceDE/>
        <w:autoSpaceDN/>
        <w:bidi w:val="0"/>
        <w:adjustRightInd/>
        <w:snapToGrid/>
        <w:spacing w:line="570" w:lineRule="exact"/>
        <w:ind w:right="0" w:righ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——规模以上工业增加值增长</w:t>
      </w:r>
      <w:r>
        <w:rPr>
          <w:rFonts w:hint="default" w:ascii="Times New Roman" w:hAnsi="Times New Roman" w:eastAsia="仿宋_GB2312" w:cs="Times New Roman"/>
          <w:b/>
          <w:bCs/>
          <w:sz w:val="32"/>
          <w:szCs w:val="32"/>
          <w:lang w:val="en-US" w:eastAsia="zh-CN"/>
        </w:rPr>
        <w:t>6</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b/>
          <w:bCs/>
          <w:sz w:val="32"/>
          <w:szCs w:val="32"/>
          <w:lang w:val="en-US" w:eastAsia="zh-CN"/>
        </w:rPr>
        <w:t>左右</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rPr>
        <w:t>主要考虑：全县经济发展，关键在工业。随着园区功能不断完善、工业倍增计划实施、营商环境和要素保障明显改善、仙福技改、正大钢管一期等项目相继建成投产，对工业增长形成有力支撑。</w:t>
      </w:r>
    </w:p>
    <w:p w14:paraId="18B56428">
      <w:pPr>
        <w:keepNext w:val="0"/>
        <w:keepLines w:val="0"/>
        <w:pageBreakBefore w:val="0"/>
        <w:widowControl w:val="0"/>
        <w:kinsoku/>
        <w:wordWrap/>
        <w:overflowPunct/>
        <w:topLinePunct w:val="0"/>
        <w:autoSpaceDE/>
        <w:autoSpaceDN/>
        <w:bidi w:val="0"/>
        <w:adjustRightInd/>
        <w:snapToGrid/>
        <w:spacing w:line="570" w:lineRule="exact"/>
        <w:ind w:right="0" w:righ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w:t>
      </w:r>
      <w:r>
        <w:rPr>
          <w:rFonts w:hint="default" w:ascii="Times New Roman" w:hAnsi="Times New Roman" w:eastAsia="仿宋_GB2312" w:cs="Times New Roman"/>
          <w:b/>
          <w:bCs/>
          <w:sz w:val="32"/>
          <w:szCs w:val="32"/>
          <w:lang w:val="en-US" w:eastAsia="zh-CN"/>
        </w:rPr>
        <w:t>规模以上</w:t>
      </w:r>
      <w:r>
        <w:rPr>
          <w:rFonts w:hint="default" w:ascii="Times New Roman" w:hAnsi="Times New Roman" w:eastAsia="仿宋_GB2312" w:cs="Times New Roman"/>
          <w:b/>
          <w:bCs/>
          <w:sz w:val="32"/>
          <w:szCs w:val="32"/>
        </w:rPr>
        <w:t>固定资产投资</w:t>
      </w:r>
      <w:r>
        <w:rPr>
          <w:rFonts w:hint="default" w:ascii="Times New Roman" w:hAnsi="Times New Roman" w:eastAsia="仿宋_GB2312" w:cs="Times New Roman"/>
          <w:b/>
          <w:bCs/>
          <w:sz w:val="32"/>
          <w:szCs w:val="32"/>
          <w:lang w:val="en-US" w:eastAsia="zh-CN"/>
        </w:rPr>
        <w:t>增长7%以上</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rPr>
        <w:t>主要考虑：全县经济发展，动力在投资。需充分发挥投资的关键性作用。强化树立抓投资项目就是抓经济的理念，全县上下大抓项目、抓大项目的决心永远不能变，要充分发挥投资的关键作用，以更大决心、更大力度、更实举措抓项目稳投资增动能。</w:t>
      </w:r>
    </w:p>
    <w:p w14:paraId="1580F09A">
      <w:pPr>
        <w:keepNext w:val="0"/>
        <w:keepLines w:val="0"/>
        <w:pageBreakBefore w:val="0"/>
        <w:widowControl w:val="0"/>
        <w:kinsoku/>
        <w:wordWrap/>
        <w:overflowPunct/>
        <w:topLinePunct w:val="0"/>
        <w:autoSpaceDE/>
        <w:autoSpaceDN/>
        <w:bidi w:val="0"/>
        <w:adjustRightInd/>
        <w:snapToGrid/>
        <w:spacing w:line="570" w:lineRule="exact"/>
        <w:ind w:right="0" w:righ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——社会消费品零售总额增长</w:t>
      </w:r>
      <w:r>
        <w:rPr>
          <w:rFonts w:hint="default" w:ascii="Times New Roman" w:hAnsi="Times New Roman" w:eastAsia="仿宋_GB2312" w:cs="Times New Roman"/>
          <w:b/>
          <w:bCs/>
          <w:sz w:val="32"/>
          <w:szCs w:val="32"/>
          <w:lang w:val="en-US" w:eastAsia="zh-CN"/>
        </w:rPr>
        <w:t>8</w:t>
      </w:r>
      <w:r>
        <w:rPr>
          <w:rFonts w:hint="default" w:ascii="Times New Roman" w:hAnsi="Times New Roman" w:eastAsia="仿宋_GB2312" w:cs="Times New Roman"/>
          <w:b/>
          <w:bCs/>
          <w:sz w:val="32"/>
          <w:szCs w:val="32"/>
        </w:rPr>
        <w:t>%以上。</w:t>
      </w:r>
      <w:r>
        <w:rPr>
          <w:rFonts w:hint="default" w:ascii="Times New Roman" w:hAnsi="Times New Roman" w:eastAsia="仿宋_GB2312" w:cs="Times New Roman"/>
          <w:sz w:val="32"/>
          <w:szCs w:val="32"/>
        </w:rPr>
        <w:t>主要考虑：全县经济发展，潜力在消费。消费是扩大内需和经济复苏的重要手段，随着省市各类扩消费政策落地见效，旅游、餐饮、住宿等服务行业将迎来强劲复苏，消费市场有望保持较快恢复增长态势。</w:t>
      </w:r>
    </w:p>
    <w:p w14:paraId="4E72EDEE">
      <w:pPr>
        <w:keepNext w:val="0"/>
        <w:keepLines w:val="0"/>
        <w:pageBreakBefore w:val="0"/>
        <w:widowControl w:val="0"/>
        <w:kinsoku/>
        <w:wordWrap/>
        <w:overflowPunct/>
        <w:topLinePunct w:val="0"/>
        <w:autoSpaceDE/>
        <w:autoSpaceDN/>
        <w:bidi w:val="0"/>
        <w:adjustRightInd/>
        <w:snapToGrid/>
        <w:spacing w:line="570" w:lineRule="exact"/>
        <w:ind w:right="0" w:righ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——居民人均可支配收入与经济增长基本同步。</w:t>
      </w:r>
      <w:r>
        <w:rPr>
          <w:rFonts w:hint="default" w:ascii="Times New Roman" w:hAnsi="Times New Roman" w:eastAsia="仿宋_GB2312" w:cs="Times New Roman"/>
          <w:sz w:val="32"/>
          <w:szCs w:val="32"/>
        </w:rPr>
        <w:t>主要考虑：持续增加居民收入是提高人民生活水平的根本，是扩大消费、稳住经济的重要基础；随着经济的回升，增收渠道进一步扩宽，居民</w:t>
      </w:r>
      <w:r>
        <w:rPr>
          <w:rFonts w:hint="default" w:ascii="Times New Roman" w:hAnsi="Times New Roman" w:eastAsia="仿宋_GB2312" w:cs="Times New Roman"/>
          <w:sz w:val="32"/>
          <w:szCs w:val="32"/>
          <w:lang w:val="en-US" w:eastAsia="zh-CN"/>
        </w:rPr>
        <w:t>收入</w:t>
      </w:r>
      <w:r>
        <w:rPr>
          <w:rFonts w:hint="default" w:ascii="Times New Roman" w:hAnsi="Times New Roman" w:eastAsia="仿宋_GB2312" w:cs="Times New Roman"/>
          <w:sz w:val="32"/>
          <w:szCs w:val="32"/>
        </w:rPr>
        <w:t>有望保持较快增速。</w:t>
      </w:r>
    </w:p>
    <w:p w14:paraId="72ACFA76">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为确保实现2025年经济社会发展目标任务，全县上下要坚定信心、明确方向、锚定目标，重点抓牢七个方面的工作：</w:t>
      </w:r>
    </w:p>
    <w:p w14:paraId="76A9C083">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（一）坚持稳字当头，更大力度落实纾困政策、提振市场信心。</w:t>
      </w:r>
      <w:r>
        <w:rPr>
          <w:rFonts w:hint="default" w:ascii="Times New Roman" w:hAnsi="Times New Roman" w:eastAsia="仿宋_GB2312" w:cs="Times New Roman"/>
          <w:sz w:val="32"/>
          <w:szCs w:val="32"/>
        </w:rPr>
        <w:t>聚焦稳定市场预期，突出经济运行调度，保持政策的连续性、稳定性、可持续性，推动经济合理增长、稳步提升。</w:t>
      </w:r>
      <w:r>
        <w:rPr>
          <w:rFonts w:hint="default" w:ascii="Times New Roman" w:hAnsi="Times New Roman" w:eastAsia="仿宋_GB2312" w:cs="Times New Roman"/>
          <w:b/>
          <w:bCs/>
          <w:sz w:val="32"/>
          <w:szCs w:val="32"/>
        </w:rPr>
        <w:t>加强经济监测。</w:t>
      </w:r>
      <w:r>
        <w:rPr>
          <w:rFonts w:hint="default" w:ascii="Times New Roman" w:hAnsi="Times New Roman" w:eastAsia="仿宋_GB2312" w:cs="Times New Roman"/>
          <w:sz w:val="32"/>
          <w:szCs w:val="32"/>
        </w:rPr>
        <w:t>密切关注国内外宏观形势变化，精准分析研判全县经济运行质态和趋势，对照排定的目标任务和指标体系，进一步加强对重点指标的监测研判，落实经济运行定期调度制度，提高经济运行调节的预见性、针对性和有效性，力争地区生产总值、投资、消费等指标完成预期目标。</w:t>
      </w:r>
      <w:r>
        <w:rPr>
          <w:rFonts w:hint="default" w:ascii="Times New Roman" w:hAnsi="Times New Roman" w:eastAsia="仿宋_GB2312" w:cs="Times New Roman"/>
          <w:b/>
          <w:bCs/>
          <w:sz w:val="32"/>
          <w:szCs w:val="32"/>
        </w:rPr>
        <w:t>注重政策衔接。</w:t>
      </w:r>
      <w:r>
        <w:rPr>
          <w:rFonts w:hint="default" w:ascii="Times New Roman" w:hAnsi="Times New Roman" w:eastAsia="仿宋_GB2312" w:cs="Times New Roman"/>
          <w:sz w:val="32"/>
          <w:szCs w:val="32"/>
        </w:rPr>
        <w:t>紧盯国家和省宏观政策调整动向，把握好政策的时度效，以省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市稳增长政策措施接续政策为抓手，全面落实有利于稳定经济运行的政策、有利于激活动力的举措，进一步理顺政策之间内在联系，形成政策合力，实现聚合效应。</w:t>
      </w:r>
      <w:r>
        <w:rPr>
          <w:rFonts w:hint="default" w:ascii="Times New Roman" w:hAnsi="Times New Roman" w:eastAsia="仿宋_GB2312" w:cs="Times New Roman"/>
          <w:b/>
          <w:bCs/>
          <w:sz w:val="32"/>
          <w:szCs w:val="32"/>
        </w:rPr>
        <w:t>加力助企纾困。</w:t>
      </w:r>
      <w:r>
        <w:rPr>
          <w:rFonts w:hint="default" w:ascii="Times New Roman" w:hAnsi="Times New Roman" w:eastAsia="仿宋_GB2312" w:cs="Times New Roman"/>
          <w:sz w:val="32"/>
          <w:szCs w:val="32"/>
        </w:rPr>
        <w:t>常态化联系服务重点企业，进一步完善县级领导包保联系规模以上工业企业制度，推动政策效果更快更好传导到基层、到企业、到项目，最大限度帮助企业解决问题、降低成本、轻装运营。</w:t>
      </w:r>
    </w:p>
    <w:p w14:paraId="0C935EFF">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（二）坚持产业强县，加快三次产业融合发展、壮大经济能级。</w:t>
      </w:r>
      <w:r>
        <w:rPr>
          <w:rFonts w:hint="default" w:ascii="Times New Roman" w:hAnsi="Times New Roman" w:eastAsia="仿宋_GB2312" w:cs="Times New Roman"/>
          <w:sz w:val="32"/>
          <w:szCs w:val="32"/>
        </w:rPr>
        <w:t>紧盯全年发展主要目标，强化经济增长的产业支撑和产业发展的创新驱动，采取有力措施保市场主体、保要素供应、保产能释放、保预期稳定。</w:t>
      </w:r>
    </w:p>
    <w:p w14:paraId="15DFEA65">
      <w:pPr>
        <w:keepNext w:val="0"/>
        <w:keepLines w:val="0"/>
        <w:pageBreakBefore w:val="0"/>
        <w:widowControl w:val="0"/>
        <w:kinsoku/>
        <w:wordWrap/>
        <w:overflowPunct/>
        <w:topLinePunct w:val="0"/>
        <w:autoSpaceDE/>
        <w:autoSpaceDN/>
        <w:bidi w:val="0"/>
        <w:adjustRightInd/>
        <w:snapToGrid/>
        <w:spacing w:line="570" w:lineRule="exact"/>
        <w:ind w:right="0" w:righ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拓展工业经济增长极。</w:t>
      </w:r>
      <w:r>
        <w:rPr>
          <w:rFonts w:hint="default" w:ascii="Times New Roman" w:hAnsi="Times New Roman" w:eastAsia="仿宋_GB2312" w:cs="Times New Roman"/>
          <w:sz w:val="32"/>
          <w:szCs w:val="32"/>
        </w:rPr>
        <w:t>坚定走工业集群化道路，纵向延伸产业链条、横向壮大产业规模，形成主导产业突出、同类行业集聚、配套企业完备的产业集群。着力抓好负增长企业帮扶</w:t>
      </w:r>
      <w:r>
        <w:rPr>
          <w:rFonts w:hint="default" w:ascii="Times New Roman" w:hAnsi="Times New Roman" w:eastAsia="仿宋_GB2312" w:cs="Times New Roman"/>
          <w:sz w:val="32"/>
          <w:szCs w:val="32"/>
          <w:lang w:eastAsia="zh-CN"/>
        </w:rPr>
        <w:t>，以产值亿元以上负增长企业为主抓对象，建立企业台账，加强走访调研，逐一分析研究，找准症结所在，协调解决存在的困难和问题，确保企业正常生产。加快推进重大项目建设落地，</w:t>
      </w:r>
      <w:r>
        <w:rPr>
          <w:rFonts w:hint="default" w:ascii="Times New Roman" w:hAnsi="Times New Roman" w:eastAsia="仿宋_GB2312" w:cs="Times New Roman"/>
          <w:sz w:val="32"/>
          <w:szCs w:val="32"/>
          <w:lang w:val="en-US" w:eastAsia="zh-CN"/>
        </w:rPr>
        <w:t>在服务上狠下功夫，力争</w:t>
      </w:r>
      <w:r>
        <w:rPr>
          <w:rFonts w:hint="default" w:ascii="Times New Roman" w:hAnsi="Times New Roman" w:eastAsia="仿宋_GB2312" w:cs="Times New Roman"/>
          <w:sz w:val="32"/>
          <w:szCs w:val="32"/>
        </w:rPr>
        <w:t>大红山铁矿二道河100万t/a采选、</w:t>
      </w:r>
      <w:r>
        <w:rPr>
          <w:rFonts w:hint="default" w:ascii="Times New Roman" w:hAnsi="Times New Roman" w:eastAsia="仿宋_GB2312" w:cs="Times New Roman"/>
          <w:sz w:val="32"/>
          <w:szCs w:val="32"/>
          <w:lang w:val="en-US" w:eastAsia="zh-CN"/>
        </w:rPr>
        <w:t>年</w:t>
      </w:r>
      <w:r>
        <w:rPr>
          <w:rFonts w:hint="default" w:ascii="Times New Roman" w:hAnsi="Times New Roman" w:eastAsia="仿宋_GB2312" w:cs="Times New Roman"/>
          <w:sz w:val="32"/>
          <w:szCs w:val="32"/>
        </w:rPr>
        <w:t>产260万吨焊接钢管</w:t>
      </w:r>
      <w:r>
        <w:rPr>
          <w:rFonts w:hint="default" w:ascii="Times New Roman" w:hAnsi="Times New Roman" w:eastAsia="仿宋_GB2312" w:cs="Times New Roman"/>
          <w:sz w:val="32"/>
          <w:szCs w:val="32"/>
          <w:lang w:val="en-US" w:eastAsia="zh-CN"/>
        </w:rPr>
        <w:t>等项目</w:t>
      </w:r>
      <w:r>
        <w:rPr>
          <w:rFonts w:hint="default" w:ascii="Times New Roman" w:hAnsi="Times New Roman" w:eastAsia="仿宋_GB2312" w:cs="Times New Roman"/>
          <w:sz w:val="32"/>
          <w:szCs w:val="32"/>
        </w:rPr>
        <w:t>尽早竣工达产；</w:t>
      </w:r>
      <w:r>
        <w:rPr>
          <w:rFonts w:hint="default" w:ascii="Times New Roman" w:hAnsi="Times New Roman" w:eastAsia="仿宋_GB2312" w:cs="Times New Roman"/>
          <w:sz w:val="32"/>
          <w:szCs w:val="32"/>
          <w:lang w:val="en-US" w:eastAsia="zh-CN"/>
        </w:rPr>
        <w:t>在要素保障上狠下功夫，加快推进100万吨焦化项目；力争开工建设</w:t>
      </w:r>
      <w:r>
        <w:rPr>
          <w:rFonts w:hint="default" w:ascii="Times New Roman" w:hAnsi="Times New Roman" w:eastAsia="仿宋_GB2312" w:cs="Times New Roman"/>
          <w:sz w:val="32"/>
          <w:szCs w:val="32"/>
        </w:rPr>
        <w:t>200万吨金属基复合材料</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南恩公司搬迁改造转型升级</w:t>
      </w:r>
      <w:r>
        <w:rPr>
          <w:rFonts w:hint="default"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rPr>
        <w:t>重大项目。扩大工业经济增量</w:t>
      </w:r>
      <w:r>
        <w:rPr>
          <w:rFonts w:hint="default" w:ascii="Times New Roman" w:hAnsi="Times New Roman" w:eastAsia="仿宋_GB2312" w:cs="Times New Roman"/>
          <w:sz w:val="32"/>
          <w:szCs w:val="32"/>
          <w:lang w:eastAsia="zh-CN"/>
        </w:rPr>
        <w:t>，围绕矿冶、加工制造、生物资源加工、清洁能源4</w:t>
      </w:r>
      <w:r>
        <w:rPr>
          <w:rFonts w:hint="default" w:ascii="Times New Roman" w:hAnsi="Times New Roman" w:eastAsia="仿宋_GB2312" w:cs="Times New Roman"/>
          <w:sz w:val="32"/>
          <w:szCs w:val="32"/>
          <w:lang w:val="en-US" w:eastAsia="zh-CN"/>
        </w:rPr>
        <w:t>大</w:t>
      </w:r>
      <w:r>
        <w:rPr>
          <w:rFonts w:hint="default" w:ascii="Times New Roman" w:hAnsi="Times New Roman" w:eastAsia="仿宋_GB2312" w:cs="Times New Roman"/>
          <w:sz w:val="32"/>
          <w:szCs w:val="32"/>
          <w:lang w:eastAsia="zh-CN"/>
        </w:rPr>
        <w:t>产业，加快实施市场主体倍增计划，建立中小微企业培育库；密切跟踪监测云电建、华能新能源等重点培育企业的生产经营情况，一旦符合条件，及时入库入统。赋能数字经济发展，实施4G补盲提速，实现5G网络乡镇集镇、景点景区全覆盖，并逐步向重点行政村延伸覆盖。</w:t>
      </w:r>
    </w:p>
    <w:p w14:paraId="5E395389">
      <w:pPr>
        <w:keepNext w:val="0"/>
        <w:keepLines w:val="0"/>
        <w:pageBreakBefore w:val="0"/>
        <w:widowControl w:val="0"/>
        <w:kinsoku/>
        <w:wordWrap/>
        <w:overflowPunct/>
        <w:topLinePunct w:val="0"/>
        <w:autoSpaceDE/>
        <w:autoSpaceDN/>
        <w:bidi w:val="0"/>
        <w:adjustRightInd/>
        <w:snapToGrid/>
        <w:spacing w:line="570" w:lineRule="exact"/>
        <w:ind w:right="0" w:rightChars="0"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加快农业现代化步伐。</w:t>
      </w:r>
      <w:r>
        <w:rPr>
          <w:rFonts w:hint="default" w:ascii="Times New Roman" w:hAnsi="Times New Roman" w:eastAsia="仿宋_GB2312" w:cs="Times New Roman"/>
          <w:sz w:val="32"/>
          <w:szCs w:val="32"/>
        </w:rPr>
        <w:t>坚定走农业现代化道路，着力壮主体、转模式、延链条、创品牌、强贸易，推动</w:t>
      </w:r>
      <w:r>
        <w:rPr>
          <w:rFonts w:hint="default" w:ascii="Times New Roman" w:hAnsi="Times New Roman" w:eastAsia="仿宋_GB2312" w:cs="Times New Roman"/>
          <w:color w:val="auto"/>
          <w:sz w:val="32"/>
          <w:szCs w:val="32"/>
        </w:rPr>
        <w:t>新平高原特色农业绿色转型、提质增效，全年完成农林渔牧业总产值</w:t>
      </w:r>
      <w:r>
        <w:rPr>
          <w:rFonts w:hint="default" w:ascii="Times New Roman" w:hAnsi="Times New Roman" w:eastAsia="仿宋_GB2312" w:cs="Times New Roman"/>
          <w:color w:val="auto"/>
          <w:sz w:val="32"/>
          <w:szCs w:val="32"/>
          <w:lang w:val="en-US" w:eastAsia="zh-CN"/>
        </w:rPr>
        <w:t>76.9</w:t>
      </w:r>
      <w:r>
        <w:rPr>
          <w:rFonts w:hint="default" w:ascii="Times New Roman" w:hAnsi="Times New Roman" w:eastAsia="仿宋_GB2312" w:cs="Times New Roman"/>
          <w:color w:val="auto"/>
          <w:sz w:val="32"/>
          <w:szCs w:val="32"/>
        </w:rPr>
        <w:t>亿元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同比增长</w:t>
      </w:r>
      <w:r>
        <w:rPr>
          <w:rFonts w:hint="default" w:ascii="Times New Roman" w:hAnsi="Times New Roman" w:eastAsia="仿宋_GB2312" w:cs="Times New Roman"/>
          <w:color w:val="auto"/>
          <w:sz w:val="32"/>
          <w:szCs w:val="32"/>
          <w:lang w:val="en-US" w:eastAsia="zh-CN"/>
        </w:rPr>
        <w:t>6.2</w:t>
      </w:r>
      <w:r>
        <w:rPr>
          <w:rFonts w:hint="default" w:ascii="Times New Roman" w:hAnsi="Times New Roman" w:eastAsia="仿宋_GB2312" w:cs="Times New Roman"/>
          <w:color w:val="auto"/>
          <w:sz w:val="32"/>
          <w:szCs w:val="32"/>
        </w:rPr>
        <w:t>%。充分发挥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褚橙</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引领示范作用，持续提升</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新平橙</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市场影响力，提升水果产业现代化水平，在园水果面积稳定在31万亩以上、产量54万</w:t>
      </w:r>
      <w:r>
        <w:rPr>
          <w:rFonts w:hint="default" w:ascii="Times New Roman" w:hAnsi="Times New Roman" w:eastAsia="仿宋_GB2312" w:cs="Times New Roman"/>
          <w:color w:val="auto"/>
          <w:sz w:val="32"/>
          <w:szCs w:val="32"/>
          <w:lang w:eastAsia="zh-CN"/>
        </w:rPr>
        <w:t>吨</w:t>
      </w:r>
      <w:r>
        <w:rPr>
          <w:rFonts w:hint="default" w:ascii="Times New Roman" w:hAnsi="Times New Roman" w:eastAsia="仿宋_GB2312" w:cs="Times New Roman"/>
          <w:color w:val="auto"/>
          <w:sz w:val="32"/>
          <w:szCs w:val="32"/>
        </w:rPr>
        <w:t>；巩固提升德康70万头生猪养殖项目建设成效，出栏肥猪55万头</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全力争创生猪调出大县，带动全县畜牧产业规模化、标准化水平整体提升。不断提高粮食产能，计划完成粮食种植面积52.5万亩，产量18.7万吨</w:t>
      </w:r>
      <w:r>
        <w:rPr>
          <w:rFonts w:hint="default" w:ascii="Times New Roman" w:hAnsi="Times New Roman" w:eastAsia="仿宋_GB2312" w:cs="Times New Roman"/>
          <w:sz w:val="32"/>
          <w:szCs w:val="32"/>
        </w:rPr>
        <w:t>。抓好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菜篮子</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产品生产、质量安全等工作，保持蔬菜面积20万亩以上，产量45.9万吨。全力推进蔗糖纸全产业链发展，种植甘蔗8万亩。着力提升基地建设质量和效益，认定县级以上基地260个，其中市级以上基地20个。计划种植烤烟7.3万亩，收购烟叶950万公斤，力争均价达全市平均水平。充分挖掘核桃、竹子、中药材、茶叶等高原特色农业发展潜力，实现农业全面发展</w:t>
      </w:r>
      <w:r>
        <w:rPr>
          <w:rFonts w:hint="default" w:ascii="Times New Roman" w:hAnsi="Times New Roman" w:eastAsia="仿宋_GB2312" w:cs="Times New Roman"/>
          <w:sz w:val="32"/>
          <w:szCs w:val="32"/>
          <w:lang w:eastAsia="zh-CN"/>
        </w:rPr>
        <w:t>。</w:t>
      </w:r>
    </w:p>
    <w:p w14:paraId="68B4C73F">
      <w:pPr>
        <w:keepNext w:val="0"/>
        <w:keepLines w:val="0"/>
        <w:pageBreakBefore w:val="0"/>
        <w:widowControl w:val="0"/>
        <w:kinsoku/>
        <w:wordWrap/>
        <w:overflowPunct/>
        <w:topLinePunct w:val="0"/>
        <w:autoSpaceDE/>
        <w:autoSpaceDN/>
        <w:bidi w:val="0"/>
        <w:adjustRightInd/>
        <w:snapToGrid/>
        <w:spacing w:line="570" w:lineRule="exact"/>
        <w:ind w:right="0" w:righ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保持服务业快速发展。</w:t>
      </w:r>
      <w:r>
        <w:rPr>
          <w:rFonts w:hint="default" w:ascii="Times New Roman" w:hAnsi="Times New Roman" w:eastAsia="仿宋_GB2312" w:cs="Times New Roman"/>
          <w:sz w:val="32"/>
          <w:szCs w:val="32"/>
        </w:rPr>
        <w:t>坚持走</w:t>
      </w:r>
      <w:r>
        <w:rPr>
          <w:rFonts w:hint="default" w:ascii="Times New Roman" w:hAnsi="Times New Roman" w:eastAsia="仿宋_GB2312" w:cs="Times New Roman"/>
          <w:sz w:val="32"/>
          <w:szCs w:val="32"/>
          <w:lang w:val="en-US" w:eastAsia="zh-CN"/>
        </w:rPr>
        <w:t>服务业专业化道路，</w:t>
      </w:r>
      <w:r>
        <w:rPr>
          <w:rFonts w:hint="default" w:ascii="Times New Roman" w:hAnsi="Times New Roman" w:eastAsia="仿宋_GB2312" w:cs="Times New Roman"/>
          <w:sz w:val="32"/>
          <w:szCs w:val="32"/>
        </w:rPr>
        <w:t>以文塑旅、以旅彰文，拓展文旅新业态、打造新消费场景、培育消费新增长点。围绕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风情花腰傣·神秘哀牢山</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形象定位，大力发展文化旅游产业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持续申报创建石门峡AAAA级景区，</w:t>
      </w:r>
      <w:r>
        <w:rPr>
          <w:rFonts w:hint="default" w:ascii="Times New Roman" w:hAnsi="Times New Roman" w:eastAsia="仿宋_GB2312" w:cs="Times New Roman"/>
          <w:sz w:val="32"/>
          <w:szCs w:val="32"/>
          <w:lang w:val="en-US" w:eastAsia="zh-CN"/>
        </w:rPr>
        <w:t>有序推进哀牢山民宿群、马家寨度假旅游村建设，</w:t>
      </w:r>
      <w:r>
        <w:rPr>
          <w:rFonts w:hint="default" w:ascii="Times New Roman" w:hAnsi="Times New Roman" w:eastAsia="仿宋_GB2312" w:cs="Times New Roman"/>
          <w:sz w:val="32"/>
          <w:szCs w:val="32"/>
        </w:rPr>
        <w:t>打造哀牢山中高端的旅游度假产品。加大旅游项目包装策划，谋划</w:t>
      </w:r>
      <w:r>
        <w:rPr>
          <w:rFonts w:hint="default" w:ascii="Times New Roman" w:hAnsi="Times New Roman" w:eastAsia="仿宋_GB2312" w:cs="Times New Roman"/>
          <w:sz w:val="32"/>
          <w:szCs w:val="32"/>
          <w:lang w:val="en-US" w:eastAsia="zh-CN"/>
        </w:rPr>
        <w:t>实施</w:t>
      </w:r>
      <w:r>
        <w:rPr>
          <w:rFonts w:hint="default" w:ascii="Times New Roman" w:hAnsi="Times New Roman" w:eastAsia="仿宋_GB2312" w:cs="Times New Roman"/>
          <w:sz w:val="32"/>
          <w:szCs w:val="32"/>
        </w:rPr>
        <w:t>哀牢山森林旅游示范区、磨盘山民族体育运动公园等项目。</w:t>
      </w:r>
      <w:r>
        <w:rPr>
          <w:rFonts w:hint="default" w:ascii="Times New Roman" w:hAnsi="Times New Roman" w:eastAsia="仿宋_GB2312" w:cs="Times New Roman"/>
          <w:sz w:val="32"/>
          <w:szCs w:val="32"/>
          <w:lang w:val="en-US" w:eastAsia="zh-CN"/>
        </w:rPr>
        <w:t>加快推进戛洒省级旅游度假示范区创建工作，</w:t>
      </w:r>
      <w:r>
        <w:rPr>
          <w:rFonts w:hint="default" w:ascii="Times New Roman" w:hAnsi="Times New Roman" w:eastAsia="仿宋_GB2312" w:cs="Times New Roman"/>
          <w:sz w:val="32"/>
          <w:szCs w:val="32"/>
        </w:rPr>
        <w:t>打造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新平哀牢山</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文旅一体</w:t>
      </w:r>
      <w:r>
        <w:rPr>
          <w:rFonts w:hint="default" w:ascii="Times New Roman" w:hAnsi="Times New Roman" w:eastAsia="仿宋_GB2312" w:cs="Times New Roman"/>
          <w:sz w:val="32"/>
          <w:szCs w:val="32"/>
        </w:rPr>
        <w:t>IP</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加大</w:t>
      </w:r>
      <w:r>
        <w:rPr>
          <w:rFonts w:hint="default" w:ascii="Times New Roman" w:hAnsi="Times New Roman" w:eastAsia="仿宋_GB2312" w:cs="Times New Roman"/>
          <w:sz w:val="32"/>
          <w:szCs w:val="32"/>
          <w:lang w:val="en-US" w:eastAsia="zh-CN"/>
        </w:rPr>
        <w:t>与</w:t>
      </w:r>
      <w:r>
        <w:rPr>
          <w:rFonts w:hint="default" w:ascii="Times New Roman" w:hAnsi="Times New Roman" w:eastAsia="仿宋_GB2312" w:cs="Times New Roman"/>
          <w:sz w:val="32"/>
          <w:szCs w:val="32"/>
        </w:rPr>
        <w:t>旅行社合作</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节庆联动</w:t>
      </w:r>
      <w:r>
        <w:rPr>
          <w:rFonts w:hint="default" w:ascii="Times New Roman" w:hAnsi="Times New Roman" w:eastAsia="仿宋_GB2312" w:cs="Times New Roman"/>
          <w:sz w:val="32"/>
          <w:szCs w:val="32"/>
          <w:lang w:val="en-US" w:eastAsia="zh-CN"/>
        </w:rPr>
        <w:t>力度</w:t>
      </w:r>
      <w:r>
        <w:rPr>
          <w:rFonts w:hint="default" w:ascii="Times New Roman" w:hAnsi="Times New Roman" w:eastAsia="仿宋_GB2312" w:cs="Times New Roman"/>
          <w:sz w:val="32"/>
          <w:szCs w:val="32"/>
        </w:rPr>
        <w:t>，增强新平旅游品牌吸引力，全年实现接待游客700万人次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旅游总</w:t>
      </w:r>
      <w:r>
        <w:rPr>
          <w:rFonts w:hint="default" w:ascii="Times New Roman" w:hAnsi="Times New Roman" w:eastAsia="仿宋_GB2312" w:cs="Times New Roman"/>
          <w:sz w:val="32"/>
          <w:szCs w:val="32"/>
          <w:lang w:val="en-US" w:eastAsia="zh-CN"/>
        </w:rPr>
        <w:t>花费</w:t>
      </w:r>
      <w:r>
        <w:rPr>
          <w:rFonts w:hint="default" w:ascii="Times New Roman" w:hAnsi="Times New Roman" w:eastAsia="仿宋_GB2312" w:cs="Times New Roman"/>
          <w:sz w:val="32"/>
          <w:szCs w:val="32"/>
        </w:rPr>
        <w:t>75亿元。采取多种手段刺激消费活力，激励商贸主体创新营销方式，全力确保批发零售和住宿餐饮稳步增长。发展多元化服务业，不断推进科技、金融、信息、电子商务等服务业发展。持续推进农产品智慧冷链物流园项目建设，引导大型选果厂、贸易企业、物流企业入驻园区。继续举办核桃节和柑桔推介会、电商直播节等，拓宽消费品流通渠道，丰富消费品市场。</w:t>
      </w:r>
    </w:p>
    <w:p w14:paraId="2B988989">
      <w:pPr>
        <w:keepNext w:val="0"/>
        <w:keepLines w:val="0"/>
        <w:pageBreakBefore w:val="0"/>
        <w:widowControl w:val="0"/>
        <w:kinsoku/>
        <w:wordWrap/>
        <w:overflowPunct/>
        <w:topLinePunct w:val="0"/>
        <w:autoSpaceDE/>
        <w:autoSpaceDN/>
        <w:bidi w:val="0"/>
        <w:adjustRightInd/>
        <w:snapToGrid/>
        <w:spacing w:line="570" w:lineRule="exact"/>
        <w:ind w:right="0" w:rightChars="0"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激发发展内生动力。</w:t>
      </w:r>
      <w:r>
        <w:rPr>
          <w:rFonts w:hint="default" w:ascii="Times New Roman" w:hAnsi="Times New Roman" w:eastAsia="仿宋_GB2312" w:cs="Times New Roman"/>
          <w:sz w:val="32"/>
          <w:szCs w:val="32"/>
          <w:lang w:val="en-US" w:eastAsia="zh-CN"/>
        </w:rPr>
        <w:t>强势推进乡镇（街道）、产业园区抓经济促发展各项工作，把全县的优势、乡镇（街道）的特点、村的资源统筹起来，充分激发新平人文、生态、区位、产业、自然资源等优势，实现投资支撑有力、财源培植有效、经营主体繁荣、农业基地兴旺更上一个新台阶，实现经济发展、群众增收同频共振。紧扣产业园区班子建设坚强有力、机制体制健全完善、产业发展提质增效三方面重点内容，充分发挥产业园区产业集聚、增长引擎、创新平台、开放高地的作用，着力在产业培育、项目建设、招商引资等方面下功夫，全力推动园区经济高质量发展再上新台阶。力争园区营业收入增长5%左右，规模以上工业增加值增长4.8%左右。</w:t>
      </w:r>
    </w:p>
    <w:p w14:paraId="57D01C4E">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（三）坚持项目带动，做大做强经济发展底盘、夯实发展支撑。</w:t>
      </w:r>
      <w:r>
        <w:rPr>
          <w:rFonts w:hint="default" w:ascii="Times New Roman" w:hAnsi="Times New Roman" w:eastAsia="仿宋_GB2312" w:cs="Times New Roman"/>
          <w:sz w:val="32"/>
          <w:szCs w:val="32"/>
        </w:rPr>
        <w:t>围绕稳增长、调结构、促改革、惠民生，把项目建设牢牢抓在手上，推动经济社会平稳持续健康发展。</w:t>
      </w:r>
    </w:p>
    <w:p w14:paraId="1C3246AA">
      <w:pPr>
        <w:keepNext w:val="0"/>
        <w:keepLines w:val="0"/>
        <w:pageBreakBefore w:val="0"/>
        <w:widowControl w:val="0"/>
        <w:kinsoku/>
        <w:wordWrap/>
        <w:overflowPunct/>
        <w:topLinePunct w:val="0"/>
        <w:autoSpaceDE/>
        <w:autoSpaceDN/>
        <w:bidi w:val="0"/>
        <w:adjustRightInd/>
        <w:snapToGrid/>
        <w:spacing w:line="570" w:lineRule="exact"/>
        <w:ind w:right="0" w:righ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狠抓项目谋划。</w:t>
      </w:r>
      <w:r>
        <w:rPr>
          <w:rFonts w:hint="default" w:ascii="Times New Roman" w:hAnsi="Times New Roman" w:eastAsia="仿宋_GB2312" w:cs="Times New Roman"/>
          <w:sz w:val="32"/>
          <w:szCs w:val="32"/>
        </w:rPr>
        <w:t>准确把握中央宏观政策的方向和重点，对接中央政策取向和投资方向，谋划一批强基础、补短板、保民生和促长远等方面的重大项目；围绕做实农业、水利、交通、城建、工业、物流、旅游、教育、卫生、民政、环保等项目文章，高质量谋划储备一批打基础、利长远的大项目、好项目；围绕我县产业发展现状，充分考虑错位化、差异化发展，在产业强链、补链、长链和建链上包装推动一批项目建设。年度计划实施县本级项目76个，总投资303.3亿元，年度计划投资82.7亿元；储备项目32个，总投资62.6亿元。</w:t>
      </w:r>
    </w:p>
    <w:p w14:paraId="7F262EBA">
      <w:pPr>
        <w:keepNext w:val="0"/>
        <w:keepLines w:val="0"/>
        <w:pageBreakBefore w:val="0"/>
        <w:widowControl w:val="0"/>
        <w:kinsoku/>
        <w:wordWrap/>
        <w:overflowPunct/>
        <w:topLinePunct w:val="0"/>
        <w:autoSpaceDE/>
        <w:autoSpaceDN/>
        <w:bidi w:val="0"/>
        <w:adjustRightInd/>
        <w:snapToGrid/>
        <w:spacing w:line="570" w:lineRule="exact"/>
        <w:ind w:right="0" w:righ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狠抓要素保障。</w:t>
      </w:r>
      <w:r>
        <w:rPr>
          <w:rFonts w:hint="default" w:ascii="Times New Roman" w:hAnsi="Times New Roman" w:eastAsia="仿宋_GB2312" w:cs="Times New Roman"/>
          <w:sz w:val="32"/>
          <w:szCs w:val="32"/>
        </w:rPr>
        <w:t>落实重点项目要素保障提前介入，全面加强土地、资金、林地、环评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四大要素保障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。加强用地报批工作，做好用地报批中征地前期工作，保障计划中基础设施、能源项目及城镇批次用地报批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用好项目前期工作经费，全力争取地方政府专项债券、中央和省预算内投资、银行等金融机构资金支持，积极引导社会资本参与重点项目建设，力争民间投资占比达到30%以上。推行重点项目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四个一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工作法，强化审批联动、协调服务、跟踪推进等机制，全力做好环评、能评、林地等审批工作，以服务的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高效能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打造项目的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加速度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。紧紧围绕精准招商这一主题，大抓产业、主抓工业、狠抓制造业，聚焦主导产业延链补链强链，全力推进招商引资工作迈上新台阶，引进市外国内产业资金</w:t>
      </w:r>
      <w:r>
        <w:rPr>
          <w:rFonts w:hint="default" w:ascii="Times New Roman" w:hAnsi="Times New Roman" w:eastAsia="仿宋_GB2312" w:cs="Times New Roman"/>
          <w:sz w:val="32"/>
          <w:szCs w:val="32"/>
          <w:lang w:val="en-US" w:eastAsia="zh-CN"/>
        </w:rPr>
        <w:t>39.</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亿元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同比增长</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w:t>
      </w:r>
    </w:p>
    <w:p w14:paraId="717BF453">
      <w:pPr>
        <w:keepNext w:val="0"/>
        <w:keepLines w:val="0"/>
        <w:pageBreakBefore w:val="0"/>
        <w:widowControl w:val="0"/>
        <w:kinsoku/>
        <w:wordWrap/>
        <w:overflowPunct/>
        <w:topLinePunct w:val="0"/>
        <w:autoSpaceDE/>
        <w:autoSpaceDN/>
        <w:bidi w:val="0"/>
        <w:adjustRightInd/>
        <w:snapToGrid/>
        <w:spacing w:line="570" w:lineRule="exact"/>
        <w:ind w:right="0" w:righ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狠抓项目建设。</w:t>
      </w:r>
      <w:r>
        <w:rPr>
          <w:rFonts w:hint="default" w:ascii="Times New Roman" w:hAnsi="Times New Roman" w:eastAsia="仿宋_GB2312" w:cs="Times New Roman"/>
          <w:sz w:val="32"/>
          <w:szCs w:val="32"/>
        </w:rPr>
        <w:t>织密综合交通网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成立工作专班，加快推进S45永金高速公路建设，努力在2025年春节前实现通车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主动对接，积极配合做好</w:t>
      </w:r>
      <w:r>
        <w:rPr>
          <w:rFonts w:hint="default" w:ascii="Times New Roman" w:hAnsi="Times New Roman" w:eastAsia="仿宋_GB2312" w:cs="Times New Roman"/>
          <w:sz w:val="32"/>
          <w:szCs w:val="32"/>
          <w:lang w:val="en-US" w:eastAsia="zh-CN"/>
        </w:rPr>
        <w:t>昆</w:t>
      </w:r>
      <w:r>
        <w:rPr>
          <w:rFonts w:hint="default" w:ascii="Times New Roman" w:hAnsi="Times New Roman" w:eastAsia="仿宋_GB2312" w:cs="Times New Roman"/>
          <w:sz w:val="32"/>
          <w:szCs w:val="32"/>
        </w:rPr>
        <w:t>磨高速玉溪至墨江段扩容、天猴高速公路新平（戛洒）至镇沅（者东）项目、S45永金高速公路双柏至元江（戛洒）项目、石屏（宝秀）至新平（大开门）高速公路项目、易门至新平高速公路项目的前期工作；加快推进大化产业园区铁路专用线建设，完成涉及新平段进度、专项债券和省预算内投资项目资金等申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构建水安全保障网，完成绿汁江新平县老厂乡段治理工程、农村供水保障三年专项行动项目等5个项目建设和纳溪、海外竹箐等5座小型水库除险加固工程；持续推进阿者河水库</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亚尼河水库建设，启动新平县全域水网工程一期、十里河水库等项目建设；争取完成白沙河水库、南达河水库、高粱冲水库前期工作，持续推进易峨新灌区、曼干灌区、平甸河灌区等项目前期工作。壮大新能源基础，启动大田光伏、勐丙光伏、丙坡光伏二期、联兴风电三期、哈科底风电二期等一批新能源项目开工建设，加快推进高梁冲光伏、岩子脚二期光伏、鲁奎山光伏项目建成全容量并网，实现百万装机光伏大县。</w:t>
      </w:r>
    </w:p>
    <w:p w14:paraId="1C332221">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（四）坚持问题导向，更大力度全面深化改革、拓展开放空间。</w:t>
      </w:r>
      <w:r>
        <w:rPr>
          <w:rFonts w:hint="default" w:ascii="Times New Roman" w:hAnsi="Times New Roman" w:eastAsia="仿宋_GB2312" w:cs="Times New Roman"/>
          <w:sz w:val="32"/>
          <w:szCs w:val="32"/>
        </w:rPr>
        <w:t>坚持系统联动、协调融合，以改革开放破解深层次体制机制障碍，持续为现代化建设赋能增力。</w:t>
      </w:r>
    </w:p>
    <w:p w14:paraId="74A9744D">
      <w:pPr>
        <w:keepNext w:val="0"/>
        <w:keepLines w:val="0"/>
        <w:pageBreakBefore w:val="0"/>
        <w:widowControl w:val="0"/>
        <w:kinsoku/>
        <w:wordWrap/>
        <w:overflowPunct/>
        <w:topLinePunct w:val="0"/>
        <w:autoSpaceDE/>
        <w:autoSpaceDN/>
        <w:bidi w:val="0"/>
        <w:adjustRightInd/>
        <w:snapToGrid/>
        <w:spacing w:line="570" w:lineRule="exact"/>
        <w:ind w:right="0" w:righ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全面深化改革。</w:t>
      </w:r>
      <w:r>
        <w:rPr>
          <w:rFonts w:hint="default" w:ascii="Times New Roman" w:hAnsi="Times New Roman" w:eastAsia="仿宋_GB2312" w:cs="Times New Roman"/>
          <w:sz w:val="32"/>
          <w:szCs w:val="32"/>
        </w:rPr>
        <w:t>把改革作为推动经济社会发展的关键措施，深化重点领域改革，持续推进预算绩效改革管理，提升绩效评价结果应用实效；持续深化国有企业改革，强化企业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瘦身健体</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，实现人力资源科学配置，推进企业高效运转。出台新平县提升初中教育质量十条措施，深化义务教育集团化办学、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九年一贯制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等管理模式改革，形成</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优质+薄弱</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结对联动机制，推动形成义务教育优质均衡发展新格局。继续深化医药卫生体制改革，创新慢性病管理服务模式，</w:t>
      </w:r>
      <w:r>
        <w:rPr>
          <w:rFonts w:hint="default" w:ascii="Times New Roman" w:hAnsi="Times New Roman" w:eastAsia="仿宋_GB2312" w:cs="Times New Roman"/>
          <w:sz w:val="32"/>
          <w:szCs w:val="32"/>
          <w:lang w:val="en-US" w:eastAsia="zh-CN"/>
        </w:rPr>
        <w:t>构建</w:t>
      </w:r>
      <w:r>
        <w:rPr>
          <w:rFonts w:hint="default" w:ascii="Times New Roman" w:hAnsi="Times New Roman" w:eastAsia="仿宋_GB2312" w:cs="Times New Roman"/>
          <w:sz w:val="32"/>
          <w:szCs w:val="32"/>
        </w:rPr>
        <w:t>县乡村一体化慢病管理服务新模式；巩固老年友善医疗机构和医养结合示范县建设成果，县人民医院设置老年医学科、县中医医院设置老年病科，对重点人群实施高危病床管理。积极稳妥推进农村改革，落实好农村承包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三权分置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政策。深化农业水价</w:t>
      </w:r>
      <w:r>
        <w:rPr>
          <w:rFonts w:hint="default" w:ascii="Times New Roman" w:hAnsi="Times New Roman" w:eastAsia="仿宋_GB2312" w:cs="Times New Roman"/>
          <w:sz w:val="32"/>
          <w:szCs w:val="32"/>
          <w:lang w:val="en-US" w:eastAsia="zh-CN"/>
        </w:rPr>
        <w:t>综合</w:t>
      </w:r>
      <w:r>
        <w:rPr>
          <w:rFonts w:hint="default" w:ascii="Times New Roman" w:hAnsi="Times New Roman" w:eastAsia="仿宋_GB2312" w:cs="Times New Roman"/>
          <w:sz w:val="32"/>
          <w:szCs w:val="32"/>
        </w:rPr>
        <w:t>改革，借鉴新化依施河、扬武马鹿寨灌区水价</w:t>
      </w:r>
      <w:r>
        <w:rPr>
          <w:rFonts w:hint="default" w:ascii="Times New Roman" w:hAnsi="Times New Roman" w:eastAsia="仿宋_GB2312" w:cs="Times New Roman"/>
          <w:sz w:val="32"/>
          <w:szCs w:val="32"/>
          <w:lang w:val="en-US" w:eastAsia="zh-CN"/>
        </w:rPr>
        <w:t>综合</w:t>
      </w:r>
      <w:r>
        <w:rPr>
          <w:rFonts w:hint="default" w:ascii="Times New Roman" w:hAnsi="Times New Roman" w:eastAsia="仿宋_GB2312" w:cs="Times New Roman"/>
          <w:sz w:val="32"/>
          <w:szCs w:val="32"/>
        </w:rPr>
        <w:t>改革成功经验，完成水塘棉花河片区农业水价综合改革，实质推进漠沙灌区农业水价综合改革。</w:t>
      </w:r>
    </w:p>
    <w:p w14:paraId="2E23CAC2">
      <w:pPr>
        <w:keepNext w:val="0"/>
        <w:keepLines w:val="0"/>
        <w:pageBreakBefore w:val="0"/>
        <w:widowControl w:val="0"/>
        <w:kinsoku/>
        <w:wordWrap/>
        <w:overflowPunct/>
        <w:topLinePunct w:val="0"/>
        <w:autoSpaceDE/>
        <w:autoSpaceDN/>
        <w:bidi w:val="0"/>
        <w:adjustRightInd/>
        <w:snapToGrid/>
        <w:spacing w:line="570" w:lineRule="exact"/>
        <w:ind w:right="0" w:righ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着力提升开放水平。</w:t>
      </w:r>
      <w:r>
        <w:rPr>
          <w:rFonts w:hint="default" w:ascii="Times New Roman" w:hAnsi="Times New Roman" w:eastAsia="仿宋_GB2312" w:cs="Times New Roman"/>
          <w:sz w:val="32"/>
          <w:szCs w:val="32"/>
        </w:rPr>
        <w:t>支持以仙福、正大、神龙等为核心的钢铁企业抢抓机遇，扩大同国外企业在资源开发、矿产品加工、钢铁制品贸易等方面的链式合作；大力发展跨境电子商务，鼓励引导外贸、跨境电商、物流等企业设立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海外仓</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、营销机构、售后服务网点等。优化外商投资环境，深化外商投资促进和对外投资管理服务体制机制改革，扩大对外投资合作规模。主动服务和融入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滇中+中老铁路+境内外园区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的开放体系，贯彻落实省、市中老铁路沿线开发三年行动计划，积极融入国家物流枢纽网络。推进大化产业园区铁路专用线（新平段）建设，打通公铁联运的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最后一公里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绿色钢城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物流园为载体，建设主要为仙福、正大、神龙等钢铁企业上下游产业链提供公铁联运，辐射新平矿冶生产的综合型物流基地。</w:t>
      </w:r>
    </w:p>
    <w:p w14:paraId="47B29CA8">
      <w:pPr>
        <w:keepNext w:val="0"/>
        <w:keepLines w:val="0"/>
        <w:pageBreakBefore w:val="0"/>
        <w:widowControl w:val="0"/>
        <w:kinsoku/>
        <w:wordWrap/>
        <w:overflowPunct/>
        <w:topLinePunct w:val="0"/>
        <w:autoSpaceDE/>
        <w:autoSpaceDN/>
        <w:bidi w:val="0"/>
        <w:adjustRightInd/>
        <w:snapToGrid/>
        <w:spacing w:line="570" w:lineRule="exact"/>
        <w:ind w:right="0" w:righ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持续优化一流营商环境。</w:t>
      </w:r>
      <w:r>
        <w:rPr>
          <w:rFonts w:hint="default" w:ascii="Times New Roman" w:hAnsi="Times New Roman" w:eastAsia="仿宋_GB2312" w:cs="Times New Roman"/>
          <w:sz w:val="32"/>
          <w:szCs w:val="32"/>
        </w:rPr>
        <w:t>以“精准服务、高效便捷”为核心，继续打造“新心相印”营商环境品牌，致力于营造有利于企业成长和经济高质量发展的一流营商环境。完善项目招引、落地、建设、投运全生命周期</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保姆式</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服务机制，深化并联审批模式，推动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交地即开工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竣工即投产</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落地。优化营商环境投诉平台功能，建立窗口服务评价与窗口单位业绩考核挂钩制度，建立民营企业诉求闭环解决联络机制。完善诚信履约机制、企业信用修复和惩戒制度，健全涉企收费长效监管和拖欠企业账款清偿长效机制。建立政策精准推送机制，规范涉企行政检查，全面推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企业安静期</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，落实</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有求必应，无事不扰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要求。深化政务服务事项标准化</w:t>
      </w:r>
      <w:r>
        <w:rPr>
          <w:rFonts w:hint="default" w:ascii="Times New Roman" w:hAnsi="Times New Roman" w:eastAsia="仿宋_GB2312" w:cs="Times New Roman"/>
          <w:sz w:val="32"/>
          <w:szCs w:val="32"/>
          <w:lang w:val="en-US" w:eastAsia="zh-CN"/>
        </w:rPr>
        <w:t>建设</w:t>
      </w:r>
      <w:r>
        <w:rPr>
          <w:rFonts w:hint="default" w:ascii="Times New Roman" w:hAnsi="Times New Roman" w:eastAsia="仿宋_GB2312" w:cs="Times New Roman"/>
          <w:sz w:val="32"/>
          <w:szCs w:val="32"/>
        </w:rPr>
        <w:t>，完善县级行政许可事项实施规范和办事指南，全力推进</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一网通办</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高效办成一件事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交地即开工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竣工即投产</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，开展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服务有温度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办事无投诉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不止快一点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政务服务行动。持续巩固乡（镇）级政务服务事项村级帮办代办改革成效，推动政务服务下沉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就近办</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改革升级。</w:t>
      </w:r>
    </w:p>
    <w:p w14:paraId="74AA69BB">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（五）坚持城乡融合，更大力度提升内涵品质、彰显鲜明特色。</w:t>
      </w:r>
      <w:r>
        <w:rPr>
          <w:rFonts w:hint="default" w:ascii="Times New Roman" w:hAnsi="Times New Roman" w:eastAsia="仿宋_GB2312" w:cs="Times New Roman"/>
          <w:sz w:val="32"/>
          <w:szCs w:val="32"/>
        </w:rPr>
        <w:t>统筹新型城镇化和乡村全面振兴，实现县乡村功能衔接互补、资源要素优化配置，促进城乡全面融合协调发展。</w:t>
      </w:r>
    </w:p>
    <w:p w14:paraId="436D3EB6">
      <w:pPr>
        <w:keepNext w:val="0"/>
        <w:keepLines w:val="0"/>
        <w:pageBreakBefore w:val="0"/>
        <w:widowControl w:val="0"/>
        <w:kinsoku/>
        <w:wordWrap/>
        <w:overflowPunct/>
        <w:topLinePunct w:val="0"/>
        <w:autoSpaceDE/>
        <w:autoSpaceDN/>
        <w:bidi w:val="0"/>
        <w:adjustRightInd/>
        <w:snapToGrid/>
        <w:spacing w:line="570" w:lineRule="exact"/>
        <w:ind w:right="0" w:righ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优化城市提质扩容。</w:t>
      </w:r>
      <w:r>
        <w:rPr>
          <w:rFonts w:hint="default" w:ascii="Times New Roman" w:hAnsi="Times New Roman" w:eastAsia="仿宋_GB2312" w:cs="Times New Roman"/>
          <w:sz w:val="32"/>
          <w:szCs w:val="32"/>
        </w:rPr>
        <w:t>出台《新平县城市更新改造工作方案》，稳步推进县城市政基础设施和环境基础设施补短板项目建设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加快推进燃气管道等老化更新改造、城市公共供水管网漏损治理项目建设；启动编制《新平县建筑垃圾污染环境防治工作规划》，合理规划布局全县建筑垃圾处置场所，鼓励和引导社会资本投资建设和运营建设垃圾综合利用和处置场所。</w:t>
      </w:r>
      <w:r>
        <w:rPr>
          <w:rFonts w:hint="default" w:ascii="Times New Roman" w:hAnsi="Times New Roman" w:eastAsia="仿宋_GB2312" w:cs="Times New Roman"/>
          <w:sz w:val="32"/>
          <w:szCs w:val="32"/>
          <w:lang w:val="en-US" w:eastAsia="zh-CN"/>
        </w:rPr>
        <w:t>抓好</w:t>
      </w:r>
      <w:r>
        <w:rPr>
          <w:rFonts w:hint="default" w:ascii="Times New Roman" w:hAnsi="Times New Roman" w:eastAsia="仿宋_GB2312" w:cs="Times New Roman"/>
          <w:sz w:val="32"/>
          <w:szCs w:val="32"/>
        </w:rPr>
        <w:t>住房保障</w:t>
      </w:r>
      <w:r>
        <w:rPr>
          <w:rFonts w:hint="default" w:ascii="Times New Roman" w:hAnsi="Times New Roman" w:eastAsia="仿宋_GB2312" w:cs="Times New Roman"/>
          <w:sz w:val="32"/>
          <w:szCs w:val="32"/>
          <w:lang w:val="en-US" w:eastAsia="zh-CN"/>
        </w:rPr>
        <w:t>服务</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加快推进</w:t>
      </w:r>
      <w:r>
        <w:rPr>
          <w:rFonts w:hint="default" w:ascii="Times New Roman" w:hAnsi="Times New Roman" w:eastAsia="仿宋_GB2312" w:cs="Times New Roman"/>
          <w:sz w:val="32"/>
          <w:szCs w:val="32"/>
        </w:rPr>
        <w:t>保障性租赁住房和老旧小区改造</w:t>
      </w:r>
      <w:r>
        <w:rPr>
          <w:rFonts w:hint="default" w:ascii="Times New Roman" w:hAnsi="Times New Roman" w:eastAsia="仿宋_GB2312" w:cs="Times New Roman"/>
          <w:sz w:val="32"/>
          <w:szCs w:val="32"/>
          <w:lang w:val="en-US" w:eastAsia="zh-CN"/>
        </w:rPr>
        <w:t>项目建设</w:t>
      </w:r>
      <w:r>
        <w:rPr>
          <w:rFonts w:hint="default" w:ascii="Times New Roman" w:hAnsi="Times New Roman" w:eastAsia="仿宋_GB2312" w:cs="Times New Roman"/>
          <w:sz w:val="32"/>
          <w:szCs w:val="32"/>
        </w:rPr>
        <w:t>；强化小区物业管理，做好党建引领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红色物业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工作，维护好居民权益。</w:t>
      </w:r>
      <w:r>
        <w:rPr>
          <w:rFonts w:hint="default" w:ascii="Times New Roman" w:hAnsi="Times New Roman" w:eastAsia="仿宋_GB2312" w:cs="Times New Roman"/>
          <w:sz w:val="32"/>
          <w:szCs w:val="32"/>
          <w:lang w:val="en-US" w:eastAsia="zh-CN"/>
        </w:rPr>
        <w:t>加强</w:t>
      </w:r>
      <w:r>
        <w:rPr>
          <w:rFonts w:hint="default" w:ascii="Times New Roman" w:hAnsi="Times New Roman" w:eastAsia="仿宋_GB2312" w:cs="Times New Roman"/>
          <w:sz w:val="32"/>
          <w:szCs w:val="32"/>
        </w:rPr>
        <w:t>市政、园林、环卫治理体系建设，进一步加大对县城市政道路、公园广场、公厕、桥梁等的日常巡查维护力度，努力满足市民生产生活需求和保障生命财产安全；有序开展生活垃圾分类示范小区、示范单位、教育示范基地创建工作，实现新平县垃圾中转站搬迁，有序推进生活垃圾焚烧处置项目、天然气综合利用、城市模型及信息化管理建设项目建设，进一步增强城市综合承载能力，更好满足县城居民生产生活需要。</w:t>
      </w:r>
    </w:p>
    <w:p w14:paraId="62FD5E36">
      <w:pPr>
        <w:keepNext w:val="0"/>
        <w:keepLines w:val="0"/>
        <w:pageBreakBefore w:val="0"/>
        <w:widowControl w:val="0"/>
        <w:kinsoku/>
        <w:wordWrap/>
        <w:overflowPunct/>
        <w:topLinePunct w:val="0"/>
        <w:autoSpaceDE/>
        <w:autoSpaceDN/>
        <w:bidi w:val="0"/>
        <w:adjustRightInd/>
        <w:snapToGrid/>
        <w:spacing w:line="570" w:lineRule="exact"/>
        <w:ind w:right="0" w:righ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持续改善集镇乡村面貌。</w:t>
      </w:r>
      <w:r>
        <w:rPr>
          <w:rFonts w:hint="default" w:ascii="Times New Roman" w:hAnsi="Times New Roman" w:eastAsia="仿宋_GB2312" w:cs="Times New Roman"/>
          <w:sz w:val="32"/>
          <w:szCs w:val="32"/>
        </w:rPr>
        <w:t>扎实推进宜居宜业和美乡村建设，以星级美丽乡村建设为抓手，落实好学习推广浙江</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千万工程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经验三年行动实施方案，建设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千万工程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省级示范村5个、县级</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示范村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8个，提升村133个，认定8个以上三星级以上美丽乡村。新建改造农村卫生公厕</w:t>
      </w: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座、全县农村卫生户厕覆盖率要达到92%以上。全面推进乡村振兴与成果巩固，严格落实县、乡、村三级书记主体责任，优化体制机制扛实政治责任；聚焦守底线，落实</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三个动态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机制，强化防返贫监测与帮扶；紧盯扶志扶智，加强产业和就业帮扶，提升脱贫地区和群众自我发展能力；持续强化</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三保障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和饮水安全保障政策，落实控辍保学责任体系与健康帮扶政策，整治房屋安全隐患，管护饮水工程；紧盯效益提升，摸清帮扶项目资产底数，按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巩固、升级、盘活、调整</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分类管理，推动产业升级，促进脱贫群众增收。</w:t>
      </w:r>
    </w:p>
    <w:p w14:paraId="0447B662">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（六）坚持生态优先，更大力度保护生态环境、筑牢生态底线。</w:t>
      </w:r>
      <w:r>
        <w:rPr>
          <w:rFonts w:hint="default" w:ascii="Times New Roman" w:hAnsi="Times New Roman" w:eastAsia="仿宋_GB2312" w:cs="Times New Roman"/>
          <w:sz w:val="32"/>
          <w:szCs w:val="32"/>
        </w:rPr>
        <w:t>坚持生态优先、绿色发展，牢固树立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绿水青山就是金山银山</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理念，统筹山水林田湖草沙系统治理，深入实施可持续发展战略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协同推进降碳、减污、扩绿、增长，加快美丽新平建设。</w:t>
      </w:r>
    </w:p>
    <w:p w14:paraId="4FE06260">
      <w:pPr>
        <w:keepNext w:val="0"/>
        <w:keepLines w:val="0"/>
        <w:pageBreakBefore w:val="0"/>
        <w:widowControl w:val="0"/>
        <w:kinsoku/>
        <w:wordWrap/>
        <w:overflowPunct/>
        <w:topLinePunct w:val="0"/>
        <w:autoSpaceDE/>
        <w:autoSpaceDN/>
        <w:bidi w:val="0"/>
        <w:adjustRightInd/>
        <w:snapToGrid/>
        <w:spacing w:line="570" w:lineRule="exact"/>
        <w:ind w:right="0" w:righ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加强环境治理修复。</w:t>
      </w:r>
      <w:r>
        <w:rPr>
          <w:rFonts w:hint="default" w:ascii="Times New Roman" w:hAnsi="Times New Roman" w:eastAsia="仿宋_GB2312" w:cs="Times New Roman"/>
          <w:sz w:val="32"/>
          <w:szCs w:val="32"/>
        </w:rPr>
        <w:t>突出精准、科学、依法治污，坚持系统治理、源头治理、综合治理，持续深入打好污染防治攻坚战。2025年县域生态环境持续改善，完成主要污染物排放总量控制指标任务；环境空气质量优良率达98.5%以上，</w:t>
      </w:r>
      <w:r>
        <w:rPr>
          <w:rFonts w:hint="default" w:ascii="Times New Roman" w:hAnsi="Times New Roman" w:eastAsia="仿宋_GB2312" w:cs="Times New Roman"/>
          <w:color w:val="auto"/>
          <w:sz w:val="32"/>
          <w:szCs w:val="32"/>
          <w:highlight w:val="none"/>
        </w:rPr>
        <w:t>县城区细颗粒物（PM</w:t>
      </w:r>
      <w:r>
        <w:rPr>
          <w:rFonts w:hint="default" w:ascii="Times New Roman" w:hAnsi="Times New Roman" w:eastAsia="仿宋_GB2312" w:cs="Times New Roman"/>
          <w:color w:val="auto"/>
          <w:sz w:val="32"/>
          <w:szCs w:val="32"/>
          <w:highlight w:val="none"/>
          <w:lang w:val="en-US" w:eastAsia="zh-CN"/>
        </w:rPr>
        <w:t>2.5</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sz w:val="32"/>
          <w:szCs w:val="32"/>
        </w:rPr>
        <w:t>平均浓度控制在20微克/立方米以内，坚决防范重度及以上污染天气发生；地表水国控断面达到考核要求，平甸河和戛洒江水质满足水功能区划要求；土壤污染风险得到有效管控。紧盯第二轮中央、省生态环境保护督察和第三轮中央生态环境保护督察反馈问题整改目标，以问题为导向，采取强有力措施，全面、深入、彻底整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系统研究生态文明建设中的瓶颈问题和隐患问题，举一反三、以点带面、以此类推，同步抓好问题整改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确保取得新成效</w:t>
      </w:r>
      <w:r>
        <w:rPr>
          <w:rFonts w:hint="default" w:ascii="Times New Roman" w:hAnsi="Times New Roman" w:eastAsia="仿宋_GB2312" w:cs="Times New Roman"/>
          <w:sz w:val="32"/>
          <w:szCs w:val="32"/>
        </w:rPr>
        <w:t>。</w:t>
      </w:r>
    </w:p>
    <w:p w14:paraId="5F7B3553">
      <w:pPr>
        <w:keepNext w:val="0"/>
        <w:keepLines w:val="0"/>
        <w:pageBreakBefore w:val="0"/>
        <w:widowControl w:val="0"/>
        <w:kinsoku/>
        <w:wordWrap/>
        <w:overflowPunct/>
        <w:topLinePunct w:val="0"/>
        <w:autoSpaceDE/>
        <w:autoSpaceDN/>
        <w:bidi w:val="0"/>
        <w:adjustRightInd/>
        <w:snapToGrid/>
        <w:spacing w:line="570" w:lineRule="exact"/>
        <w:ind w:right="0" w:righ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推进绿色低碳转型。</w:t>
      </w:r>
      <w:r>
        <w:rPr>
          <w:rFonts w:hint="default" w:ascii="Times New Roman" w:hAnsi="Times New Roman" w:eastAsia="仿宋_GB2312" w:cs="Times New Roman"/>
          <w:sz w:val="32"/>
          <w:szCs w:val="32"/>
        </w:rPr>
        <w:t>进一步研究探索我县碳达峰碳中和目标及实现路径，大力培育绿色低碳产业，系统推广节能降碳技术、清洁生产装备，加强绿色低碳技术应用示范，坚决遏制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两高</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项目盲目发展，加快淘汰低端落后产能和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散乱污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企业，着力提高产业发展的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含绿量</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含金量</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。健全生态补偿机制，巩固和发展生态成果，激发保护环境和污染治理的积极性。巩固提升省级生态文明建设示范区创建成果，稳步推进国家级</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绿水青山就是金山银山</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实践创新基地创建工作。</w:t>
      </w:r>
    </w:p>
    <w:p w14:paraId="315D9008">
      <w:pPr>
        <w:keepNext w:val="0"/>
        <w:keepLines w:val="0"/>
        <w:pageBreakBefore w:val="0"/>
        <w:widowControl w:val="0"/>
        <w:kinsoku/>
        <w:wordWrap/>
        <w:overflowPunct/>
        <w:topLinePunct w:val="0"/>
        <w:autoSpaceDE/>
        <w:autoSpaceDN/>
        <w:bidi w:val="0"/>
        <w:adjustRightInd/>
        <w:snapToGrid/>
        <w:spacing w:line="570" w:lineRule="exact"/>
        <w:ind w:right="0" w:righ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深化生态机制改革。</w:t>
      </w:r>
      <w:r>
        <w:rPr>
          <w:rFonts w:hint="default" w:ascii="Times New Roman" w:hAnsi="Times New Roman" w:eastAsia="仿宋_GB2312" w:cs="Times New Roman"/>
          <w:sz w:val="32"/>
          <w:szCs w:val="32"/>
        </w:rPr>
        <w:t>深入推进生态文明体制改革和绿色发展机制体制改革，全力构建具有新平特色的生态环境</w:t>
      </w:r>
      <w:r>
        <w:rPr>
          <w:rFonts w:hint="default" w:ascii="Times New Roman" w:hAnsi="Times New Roman" w:eastAsia="仿宋_GB2312" w:cs="Times New Roman"/>
          <w:sz w:val="32"/>
          <w:szCs w:val="32"/>
          <w:lang w:val="en-US" w:eastAsia="zh-CN"/>
        </w:rPr>
        <w:t>治理</w:t>
      </w:r>
      <w:r>
        <w:rPr>
          <w:rFonts w:hint="default" w:ascii="Times New Roman" w:hAnsi="Times New Roman" w:eastAsia="仿宋_GB2312" w:cs="Times New Roman"/>
          <w:sz w:val="32"/>
          <w:szCs w:val="32"/>
        </w:rPr>
        <w:t>体系，用最严格制度最严密法治保护生态环境；严格落实生态环境保护责任清单，压实各级党委政府及其有关部门责任，推动落实</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党政同责、一岗双责</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管发展必须管环保、管行业必须管环保、管生产必须管环保</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要求，确保生态环境保护各项任务落到实处、见到实效。组织召开领导小组暨县总河长会议，及时调整各级河（湖）长及联系单位，加强跨区域、跨部门协调联动，加强督察问题整改落实；常态化规范化推进</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河长清河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清</w:t>
      </w:r>
      <w:r>
        <w:rPr>
          <w:rFonts w:hint="default" w:ascii="Times New Roman" w:hAnsi="Times New Roman" w:eastAsia="仿宋_GB2312" w:cs="Times New Roman"/>
          <w:sz w:val="32"/>
          <w:szCs w:val="32"/>
        </w:rPr>
        <w:t>四乱</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碍洪</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等突出问题核查、整治。强化绿美河湖（美丽河湖）建设及省级奖补资金项目落实。深化落实</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河湖长+检察长</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河湖警长</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机制，严厉打击破坏河库违法犯罪行为。继续发挥绿美专班办公室作用，按照省委、市委和县委的要求，统筹协调和调度好全县城乡绿化美化三年行动，总结好特色亮点和经验教训，确保圆满收官。</w:t>
      </w:r>
    </w:p>
    <w:p w14:paraId="2438C37A">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（七）坚持民生为本，更大力度守牢稳定底线、提高生活品质。</w:t>
      </w:r>
      <w:r>
        <w:rPr>
          <w:rFonts w:hint="default" w:ascii="Times New Roman" w:hAnsi="Times New Roman" w:eastAsia="仿宋_GB2312" w:cs="Times New Roman"/>
          <w:sz w:val="32"/>
          <w:szCs w:val="32"/>
        </w:rPr>
        <w:t>深入践行以人民为中心的发展思想，着力解决好群众的急难愁盼问题，努力让高质量发展成果更多更公平惠及全县人民。</w:t>
      </w:r>
    </w:p>
    <w:p w14:paraId="2C3D030C">
      <w:pPr>
        <w:keepNext w:val="0"/>
        <w:keepLines w:val="0"/>
        <w:pageBreakBefore w:val="0"/>
        <w:widowControl w:val="0"/>
        <w:kinsoku/>
        <w:wordWrap/>
        <w:overflowPunct/>
        <w:topLinePunct w:val="0"/>
        <w:autoSpaceDE/>
        <w:autoSpaceDN/>
        <w:bidi w:val="0"/>
        <w:adjustRightInd/>
        <w:snapToGrid/>
        <w:spacing w:line="570" w:lineRule="exact"/>
        <w:ind w:right="0" w:rightChars="0"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加快补齐公共服务短板。</w:t>
      </w:r>
      <w:r>
        <w:rPr>
          <w:rFonts w:hint="default" w:ascii="Times New Roman" w:hAnsi="Times New Roman" w:eastAsia="仿宋_GB2312" w:cs="Times New Roman"/>
          <w:sz w:val="32"/>
          <w:szCs w:val="32"/>
        </w:rPr>
        <w:t>补齐教育发展短板，继续推进戛洒第一中学（一期）、戛洒南蚌小学等6个项目建设；启动戛洒第一中学（二期）学生宿舍建设；加快推进新平县第二中学（一期）、新平县第四小学扩建前期工作。补齐卫生事业短板，加快推进县人民医院门诊医技综合楼、托育服务中心等项目的建设；积极申报医疗卫生领域设备更新项目和县域医共体基层医疗卫生服务能力提升项目中央</w:t>
      </w:r>
      <w:r>
        <w:rPr>
          <w:rFonts w:hint="default" w:ascii="Times New Roman" w:hAnsi="Times New Roman" w:eastAsia="仿宋_GB2312" w:cs="Times New Roman"/>
          <w:sz w:val="32"/>
          <w:szCs w:val="32"/>
          <w:lang w:val="en-US" w:eastAsia="zh-CN"/>
        </w:rPr>
        <w:t>预算内</w:t>
      </w:r>
      <w:r>
        <w:rPr>
          <w:rFonts w:hint="default" w:ascii="Times New Roman" w:hAnsi="Times New Roman" w:eastAsia="仿宋_GB2312" w:cs="Times New Roman"/>
          <w:sz w:val="32"/>
          <w:szCs w:val="32"/>
        </w:rPr>
        <w:t>资金或超长期特别国债。</w:t>
      </w:r>
      <w:r>
        <w:rPr>
          <w:rFonts w:hint="default" w:ascii="Times New Roman" w:hAnsi="Times New Roman" w:eastAsia="仿宋_GB2312" w:cs="Times New Roman"/>
          <w:sz w:val="32"/>
          <w:szCs w:val="32"/>
          <w:lang w:val="en-US" w:eastAsia="zh-CN"/>
        </w:rPr>
        <w:t>补齐</w:t>
      </w:r>
      <w:r>
        <w:rPr>
          <w:rFonts w:hint="default" w:ascii="Times New Roman" w:hAnsi="Times New Roman" w:eastAsia="仿宋_GB2312" w:cs="Times New Roman"/>
          <w:sz w:val="32"/>
          <w:szCs w:val="32"/>
        </w:rPr>
        <w:t>养老服务体系</w:t>
      </w:r>
      <w:r>
        <w:rPr>
          <w:rFonts w:hint="default" w:ascii="Times New Roman" w:hAnsi="Times New Roman" w:eastAsia="仿宋_GB2312" w:cs="Times New Roman"/>
          <w:sz w:val="32"/>
          <w:szCs w:val="32"/>
          <w:lang w:val="en-US" w:eastAsia="zh-CN"/>
        </w:rPr>
        <w:t>短板</w:t>
      </w:r>
      <w:r>
        <w:rPr>
          <w:rFonts w:hint="default" w:ascii="Times New Roman" w:hAnsi="Times New Roman" w:eastAsia="仿宋_GB2312" w:cs="Times New Roman"/>
          <w:sz w:val="32"/>
          <w:szCs w:val="32"/>
        </w:rPr>
        <w:t>，全力推进养老服务设施建设，加强养老机构运营管理和指导，探索制定日间照料服务机构运营方案，盘活养老设施资源；切实解决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一老一小</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问题，理顺动态管理、诉求审查、结果反馈、联席会议等机制，推行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三色管理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分类帮扶，实现精准施策。</w:t>
      </w:r>
      <w:r>
        <w:rPr>
          <w:rFonts w:hint="default" w:ascii="Times New Roman" w:hAnsi="Times New Roman" w:eastAsia="仿宋_GB2312" w:cs="Times New Roman"/>
          <w:sz w:val="32"/>
          <w:szCs w:val="32"/>
          <w:lang w:val="en-US" w:eastAsia="zh-CN"/>
        </w:rPr>
        <w:t>补齐基层供销短板，</w:t>
      </w:r>
      <w:r>
        <w:rPr>
          <w:rFonts w:hint="default" w:ascii="Times New Roman" w:hAnsi="Times New Roman" w:eastAsia="仿宋_GB2312" w:cs="Times New Roman"/>
          <w:sz w:val="32"/>
          <w:szCs w:val="32"/>
        </w:rPr>
        <w:t>大力实施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千县千社质量提升行动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，以农资科技服务、农产品代销代购、日用消费品代销代购等业务融合为切入点，恢复重组及改造薄弱基层社1个、发展壮大基层经营服务网点（村级供销社）10个，进一步促进基层社、基层经营服务网点抱团发展</w:t>
      </w:r>
      <w:r>
        <w:rPr>
          <w:rFonts w:hint="default" w:ascii="Times New Roman" w:hAnsi="Times New Roman" w:eastAsia="仿宋_GB2312" w:cs="Times New Roman"/>
          <w:sz w:val="32"/>
          <w:szCs w:val="32"/>
          <w:lang w:eastAsia="zh-CN"/>
        </w:rPr>
        <w:t>。</w:t>
      </w:r>
    </w:p>
    <w:p w14:paraId="473BF3B9">
      <w:pPr>
        <w:keepNext w:val="0"/>
        <w:keepLines w:val="0"/>
        <w:pageBreakBefore w:val="0"/>
        <w:widowControl w:val="0"/>
        <w:kinsoku/>
        <w:wordWrap/>
        <w:overflowPunct/>
        <w:topLinePunct w:val="0"/>
        <w:autoSpaceDE/>
        <w:autoSpaceDN/>
        <w:bidi w:val="0"/>
        <w:adjustRightInd/>
        <w:snapToGrid/>
        <w:spacing w:line="570" w:lineRule="exact"/>
        <w:ind w:right="0" w:righ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全面落实共同富裕举措。</w:t>
      </w:r>
      <w:r>
        <w:rPr>
          <w:rFonts w:hint="default" w:ascii="Times New Roman" w:hAnsi="Times New Roman" w:eastAsia="仿宋_GB2312" w:cs="Times New Roman"/>
          <w:sz w:val="32"/>
          <w:szCs w:val="32"/>
        </w:rPr>
        <w:t>稳定和扩大就业岗位，实现城镇新增就业1600人以上。扩大城镇职工基本养老保险覆盖面，完成参加基本养老保险21.</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9万人。加大对恶意欠薪、恶意讨薪</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双恶意</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案件的查处打击力度，形成对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双恶意</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案件的高压打击态势。巩固拓展基本医疗保险参保率，确保应保尽保，杜绝重复参保，提升参保质量。认真落实居住地申办低保、特困供养政策，做好低保边缘对象和因病致贫重病患者认定工作。做好项目申报，持续加强基本养老服务设施建设，盘活养老设施资源，增强养老服务有效供给。牢固树立过</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紧日子</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思想，厉行勤俭节约，遵循</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积极稳妥、统筹兼顾、勤俭节约、量力而行、讲求绩效和收支平衡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的原则，从严控制非急需、非刚性支出，坚决守住</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三保</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底线</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全面落实残疾人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两项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补贴及儿童福利保障政策，保障残疾人和儿童基本权益。以全新理念做好价格监测、价格调控与反垄断执法，营造和谐稳定的发展环境。扛牢安全生产责任，强化安全风险管控，严防生产安全事故。妥善解决群众合理诉求，加大社会综合治理、禁毒防艾、扫黄打非和应急管理等工作，坚决纠正损害群众利益的行为。加强信访、审计、司法工作，依法防范和惩治违法犯罪活动，促进社会和谐稳定。抓好依法统计、退役军人事务以及水库移民开发管理工作。抓好武装、气象、防震减灾、人民防空、侨台、双拥、残联等工作。支持工会、共青团、妇女儿童、保密、老龄、史志、红十字会、工商联、科协、关心下一代等群团组织工作。</w:t>
      </w:r>
    </w:p>
    <w:p w14:paraId="5B6D52A2">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初心不改砥砺行，锐意进取谱新篇。各位代表，新平已经进入实现高质量发展的关键阶段，让我们在县委、县政府的领导下，进一步解放思想、扎实工作，努力打造区域版、形成增长极，奋力谱写现代化美好新平建设的新篇章！</w:t>
      </w:r>
    </w:p>
    <w:p w14:paraId="156E0ED7">
      <w:pPr>
        <w:pStyle w:val="7"/>
        <w:keepNext w:val="0"/>
        <w:keepLines w:val="0"/>
        <w:pageBreakBefore w:val="0"/>
        <w:widowControl w:val="0"/>
        <w:kinsoku/>
        <w:wordWrap/>
        <w:overflowPunct/>
        <w:topLinePunct w:val="0"/>
        <w:autoSpaceDE/>
        <w:autoSpaceDN/>
        <w:bidi w:val="0"/>
        <w:adjustRightInd/>
        <w:snapToGrid/>
        <w:spacing w:after="0" w:line="570" w:lineRule="exact"/>
        <w:ind w:right="0" w:rightChars="0"/>
        <w:textAlignment w:val="auto"/>
        <w:rPr>
          <w:rFonts w:hint="default" w:ascii="Times New Roman" w:hAnsi="Times New Roman" w:cs="Times New Roman"/>
        </w:rPr>
      </w:pPr>
    </w:p>
    <w:p w14:paraId="723C086B">
      <w:pPr>
        <w:widowControl/>
        <w:spacing w:line="560" w:lineRule="exact"/>
        <w:ind w:firstLine="6720" w:firstLineChars="2400"/>
        <w:rPr>
          <w:rFonts w:hint="default" w:ascii="Times New Roman" w:hAnsi="Times New Roman" w:eastAsia="仿宋_GB2312" w:cs="Times New Roman"/>
          <w:sz w:val="28"/>
          <w:szCs w:val="28"/>
        </w:rPr>
      </w:pPr>
    </w:p>
    <w:p w14:paraId="6C6BA8CB">
      <w:pPr>
        <w:widowControl/>
        <w:spacing w:line="560" w:lineRule="exact"/>
        <w:ind w:firstLine="6720" w:firstLineChars="2400"/>
        <w:rPr>
          <w:rFonts w:hint="default" w:ascii="Times New Roman" w:hAnsi="Times New Roman" w:eastAsia="仿宋_GB2312" w:cs="Times New Roman"/>
          <w:sz w:val="28"/>
          <w:szCs w:val="28"/>
        </w:rPr>
      </w:pPr>
    </w:p>
    <w:p w14:paraId="1149388C">
      <w:pPr>
        <w:widowControl/>
        <w:spacing w:line="560" w:lineRule="exact"/>
        <w:ind w:firstLine="7680" w:firstLineChars="2400"/>
        <w:rPr>
          <w:rFonts w:hint="default" w:ascii="Times New Roman" w:hAnsi="Times New Roman" w:eastAsia="仿宋_GB2312" w:cs="Times New Roman"/>
          <w:sz w:val="32"/>
          <w:szCs w:val="32"/>
        </w:rPr>
      </w:pPr>
    </w:p>
    <w:sectPr>
      <w:footerReference r:id="rId3" w:type="default"/>
      <w:pgSz w:w="11906" w:h="16838"/>
      <w:pgMar w:top="2098" w:right="1474" w:bottom="1984" w:left="1587" w:header="851" w:footer="158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BBD3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333EBB">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333EBB">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2YWYzNzlkZDRhN2JiODg2MmE4YTA5NTAyYTU2Y2YifQ=="/>
  </w:docVars>
  <w:rsids>
    <w:rsidRoot w:val="363D147A"/>
    <w:rsid w:val="00111353"/>
    <w:rsid w:val="01EC3689"/>
    <w:rsid w:val="03343D40"/>
    <w:rsid w:val="043E47D6"/>
    <w:rsid w:val="05F4456A"/>
    <w:rsid w:val="06B45670"/>
    <w:rsid w:val="084E233C"/>
    <w:rsid w:val="08625BBA"/>
    <w:rsid w:val="08FF539A"/>
    <w:rsid w:val="0AFE7F17"/>
    <w:rsid w:val="0C0C6101"/>
    <w:rsid w:val="0D3A4A35"/>
    <w:rsid w:val="0E246D71"/>
    <w:rsid w:val="0FDC19E8"/>
    <w:rsid w:val="0FEB1C2B"/>
    <w:rsid w:val="108D5F15"/>
    <w:rsid w:val="10C4403D"/>
    <w:rsid w:val="14A116B2"/>
    <w:rsid w:val="1606331B"/>
    <w:rsid w:val="16443B02"/>
    <w:rsid w:val="175E071B"/>
    <w:rsid w:val="182D1F43"/>
    <w:rsid w:val="19516FA3"/>
    <w:rsid w:val="19C80F3B"/>
    <w:rsid w:val="1C055E22"/>
    <w:rsid w:val="1C0C4694"/>
    <w:rsid w:val="1DC26973"/>
    <w:rsid w:val="1E597A67"/>
    <w:rsid w:val="1F5C3C07"/>
    <w:rsid w:val="20F87324"/>
    <w:rsid w:val="24765B0F"/>
    <w:rsid w:val="264C2298"/>
    <w:rsid w:val="2C080BDD"/>
    <w:rsid w:val="2CB10B57"/>
    <w:rsid w:val="2CC4622D"/>
    <w:rsid w:val="2D482013"/>
    <w:rsid w:val="2D7615E7"/>
    <w:rsid w:val="30C4655F"/>
    <w:rsid w:val="31224929"/>
    <w:rsid w:val="31876DEA"/>
    <w:rsid w:val="342C5A66"/>
    <w:rsid w:val="34950AE9"/>
    <w:rsid w:val="34F10290"/>
    <w:rsid w:val="3569249E"/>
    <w:rsid w:val="363D147A"/>
    <w:rsid w:val="36E31FAD"/>
    <w:rsid w:val="37DD25F2"/>
    <w:rsid w:val="37EF373C"/>
    <w:rsid w:val="38F474D8"/>
    <w:rsid w:val="3A3B3A72"/>
    <w:rsid w:val="3B47732F"/>
    <w:rsid w:val="3CD70CBD"/>
    <w:rsid w:val="3DF20FFD"/>
    <w:rsid w:val="3F8F762D"/>
    <w:rsid w:val="3FD4532B"/>
    <w:rsid w:val="3FFA1895"/>
    <w:rsid w:val="41087DB4"/>
    <w:rsid w:val="4113246D"/>
    <w:rsid w:val="4135210A"/>
    <w:rsid w:val="42AF07C5"/>
    <w:rsid w:val="457511D7"/>
    <w:rsid w:val="45B859F6"/>
    <w:rsid w:val="469E5884"/>
    <w:rsid w:val="49764785"/>
    <w:rsid w:val="4B0B04B0"/>
    <w:rsid w:val="4D1A0E7E"/>
    <w:rsid w:val="4DAE1BFF"/>
    <w:rsid w:val="4EFE032C"/>
    <w:rsid w:val="4EFF1FB3"/>
    <w:rsid w:val="4FB70C06"/>
    <w:rsid w:val="517B6D7A"/>
    <w:rsid w:val="57154464"/>
    <w:rsid w:val="578B5AD9"/>
    <w:rsid w:val="57CD0A1A"/>
    <w:rsid w:val="58B81B79"/>
    <w:rsid w:val="58F9FB7A"/>
    <w:rsid w:val="591F7893"/>
    <w:rsid w:val="5BAC35E9"/>
    <w:rsid w:val="5CE648D9"/>
    <w:rsid w:val="5DB84750"/>
    <w:rsid w:val="5DFF5AB1"/>
    <w:rsid w:val="6198016C"/>
    <w:rsid w:val="62E873AE"/>
    <w:rsid w:val="65EB11B2"/>
    <w:rsid w:val="66A6332B"/>
    <w:rsid w:val="67134849"/>
    <w:rsid w:val="67553A41"/>
    <w:rsid w:val="6B036F5E"/>
    <w:rsid w:val="6BEE1299"/>
    <w:rsid w:val="6D6535F8"/>
    <w:rsid w:val="6E6C0E73"/>
    <w:rsid w:val="6F925074"/>
    <w:rsid w:val="6FA6121A"/>
    <w:rsid w:val="6FE819E3"/>
    <w:rsid w:val="707A385E"/>
    <w:rsid w:val="72EE5E3E"/>
    <w:rsid w:val="737C5723"/>
    <w:rsid w:val="7428126D"/>
    <w:rsid w:val="744B3587"/>
    <w:rsid w:val="748051BB"/>
    <w:rsid w:val="75245F64"/>
    <w:rsid w:val="769C7C2A"/>
    <w:rsid w:val="76BF6A79"/>
    <w:rsid w:val="77701517"/>
    <w:rsid w:val="78422756"/>
    <w:rsid w:val="7CC83CF2"/>
    <w:rsid w:val="7CCA6CCE"/>
    <w:rsid w:val="7DF39763"/>
    <w:rsid w:val="7E7212CC"/>
    <w:rsid w:val="7ED55969"/>
    <w:rsid w:val="7EDD79C7"/>
    <w:rsid w:val="7EEE1D34"/>
    <w:rsid w:val="7F4B4048"/>
    <w:rsid w:val="7F565496"/>
    <w:rsid w:val="7FBDF13B"/>
    <w:rsid w:val="7FFDCC61"/>
    <w:rsid w:val="C3FDB26D"/>
    <w:rsid w:val="EDFBF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Normal Indent1"/>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正文首行缩进 21"/>
    <w:basedOn w:val="1"/>
    <w:qFormat/>
    <w:uiPriority w:val="99"/>
    <w:pPr>
      <w:spacing w:after="120"/>
      <w:ind w:left="420" w:leftChars="200" w:firstLine="420" w:firstLineChars="200"/>
    </w:pPr>
    <w:rPr>
      <w:kern w:val="0"/>
      <w:sz w:val="2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玉溪市新平县党政机关单位</Company>
  <Pages>24</Pages>
  <Words>13652</Words>
  <Characters>14137</Characters>
  <Lines>0</Lines>
  <Paragraphs>0</Paragraphs>
  <TotalTime>4</TotalTime>
  <ScaleCrop>false</ScaleCrop>
  <LinksUpToDate>false</LinksUpToDate>
  <CharactersWithSpaces>14157</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2024-11-12T14:43:00Z</dcterms:created>
  <dc:creator>心灵之约1416196621</dc:creator>
  <cp:lastModifiedBy>kylin</cp:lastModifiedBy>
  <dcterms:modified xsi:type="dcterms:W3CDTF">2026-08-18T17:53:01Z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35688DF52313BBB67D2B846A9FE34101_43</vt:lpwstr>
  </property>
  <property fmtid="{D5CDD505-2E9C-101B-9397-08002B2CF9AE}" pid="4" name="KSOTemplateDocerSaveRecord">
    <vt:lpwstr>eyJoZGlkIjoiOTUzMDA5NDZmZmYxMWYzZTJmZjdhMzUwN2M0NDI4YTMiLCJ1c2VySWQiOiIyNTE2MDU4MiJ9</vt:lpwstr>
  </property>
</Properties>
</file>