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jc w:val="center"/>
        <w:textAlignment w:val="auto"/>
        <w:rPr>
          <w:rFonts w:ascii="微软雅黑" w:hAnsi="微软雅黑" w:eastAsia="微软雅黑" w:cs="微软雅黑"/>
          <w:i w:val="0"/>
          <w:caps w:val="0"/>
          <w:color w:val="000000"/>
          <w:spacing w:val="0"/>
          <w:sz w:val="24"/>
          <w:szCs w:val="24"/>
        </w:rPr>
      </w:pPr>
      <w:r>
        <w:rPr>
          <w:rFonts w:ascii="方正小标宋简体" w:hAnsi="方正小标宋简体" w:eastAsia="方正小标宋简体" w:cs="方正小标宋简体"/>
          <w:i w:val="0"/>
          <w:caps w:val="0"/>
          <w:color w:val="333333"/>
          <w:spacing w:val="0"/>
          <w:sz w:val="36"/>
          <w:szCs w:val="36"/>
          <w:bdr w:val="none" w:color="auto" w:sz="0" w:space="0"/>
          <w:shd w:val="clear" w:fill="FFFFFF"/>
        </w:rPr>
        <w:t>财政部</w:t>
      </w: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 税务总局 民政部关于公益性捐赠税前扣除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jc w:val="center"/>
        <w:textAlignment w:val="auto"/>
        <w:rPr>
          <w:rFonts w:hint="eastAsia" w:ascii="微软雅黑" w:hAnsi="微软雅黑" w:eastAsia="微软雅黑" w:cs="微软雅黑"/>
          <w:i w:val="0"/>
          <w:caps w:val="0"/>
          <w:color w:val="000000"/>
          <w:spacing w:val="0"/>
          <w:sz w:val="24"/>
          <w:szCs w:val="24"/>
        </w:rPr>
      </w:pP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有关事项的公告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jc w:val="center"/>
        <w:textAlignment w:val="auto"/>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333333"/>
          <w:spacing w:val="0"/>
          <w:sz w:val="30"/>
          <w:szCs w:val="30"/>
          <w:bdr w:val="none" w:color="auto" w:sz="0" w:space="0"/>
          <w:shd w:val="clear" w:fill="FFFFFF"/>
        </w:rPr>
        <w:t>财政部</w:t>
      </w:r>
      <w:r>
        <w:rPr>
          <w:rFonts w:hint="eastAsia" w:ascii="仿宋_GB2312" w:hAnsi="微软雅黑" w:eastAsia="仿宋_GB2312" w:cs="仿宋_GB2312"/>
          <w:i w:val="0"/>
          <w:caps w:val="0"/>
          <w:color w:val="333333"/>
          <w:spacing w:val="0"/>
          <w:sz w:val="30"/>
          <w:szCs w:val="30"/>
          <w:bdr w:val="none" w:color="auto" w:sz="0" w:space="0"/>
          <w:shd w:val="clear" w:fill="FFFFFF"/>
        </w:rPr>
        <w:t> 税务总局</w:t>
      </w:r>
      <w:r>
        <w:rPr>
          <w:rFonts w:hint="eastAsia" w:ascii="微软雅黑" w:hAnsi="微软雅黑" w:eastAsia="微软雅黑" w:cs="微软雅黑"/>
          <w:i w:val="0"/>
          <w:caps w:val="0"/>
          <w:color w:val="333333"/>
          <w:spacing w:val="0"/>
          <w:sz w:val="30"/>
          <w:szCs w:val="30"/>
          <w:bdr w:val="none" w:color="auto" w:sz="0" w:space="0"/>
          <w:shd w:val="clear" w:fill="FFFFFF"/>
        </w:rPr>
        <w:t> </w:t>
      </w:r>
      <w:r>
        <w:rPr>
          <w:rFonts w:hint="eastAsia" w:ascii="仿宋_GB2312" w:hAnsi="微软雅黑" w:eastAsia="仿宋_GB2312" w:cs="仿宋_GB2312"/>
          <w:i w:val="0"/>
          <w:caps w:val="0"/>
          <w:color w:val="333333"/>
          <w:spacing w:val="0"/>
          <w:sz w:val="30"/>
          <w:szCs w:val="30"/>
          <w:bdr w:val="none" w:color="auto" w:sz="0" w:space="0"/>
          <w:shd w:val="clear" w:fill="FFFFFF"/>
        </w:rPr>
        <w:t>民政部公告2020年第27号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jc w:val="center"/>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60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为贯彻落实《中华人民共和国企业所得税法》及其实施条例、《中华人民共和国个人所得税法》及其实施条例，现就公益性捐赠税前扣除有关事项公告如下：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一、企业或个人通过公益性社会组织、县级以上人民政府及其部门等国家机关，用于符合法律规定的公益慈善事业捐赠支出，准予按税法规定在计算应纳税所得额时扣除。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二、本公告第一条所称公益慈善事业，应当符合《中华人民共和国公益事业捐赠法》第三条对公益事业范围的规定或者《中华人民共和国慈善法》第三条对慈善活动范围的规定。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三、本公告第一条所称公益性社会组织，包括依法设立或登记并按规定条件和程序取得公益性捐赠税前扣除资格的慈善组织、其他社会组织和群众团体。公益性群众团体的公益性捐赠税前扣除资格确认及管理按照现行规定执行。依法登记的慈善组织和其他社会组织的公益性捐赠税前扣除资格确认及管理按本公告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四、在民政部门依法登记的慈善组织和其他社会组织（以下统称社会组织），取得公益性捐赠税前扣除资格应当同时符合以下规定：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（一）符合企业所得税法实施条例第五十二条第一项到第八项规定的条件。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二）每年应当在3月31日前按要求向登记管理机关报送经审计的上年度专项信息报告。报告应当包括财务收支和资产负债总体情况、开展募捐和接受捐赠情况、公益慈善事业支出及管理费用情况（包括本条第三项、第四项规定的比例情况）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首次确认公益性捐赠税前扣除资格的，应当报送经审计的前两个年度的专项信息报告</w:t>
      </w:r>
      <w:bookmarkStart w:id="0" w:name="_GoBack"/>
      <w:bookmarkEnd w:id="0"/>
      <w:r>
        <w:rPr>
          <w:rFonts w:hint="eastAsia" w:ascii="仿宋_GB2312" w:hAnsi="微软雅黑" w:eastAsia="仿宋_GB2312" w:cs="仿宋_GB2312"/>
          <w:i w:val="0"/>
          <w:caps w:val="0"/>
          <w:color w:val="333333"/>
          <w:spacing w:val="0"/>
          <w:sz w:val="30"/>
          <w:szCs w:val="30"/>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（三）具有公开募捐资格的社会组织，前两年度每年用于公益慈善事业的支出占上年总收入的比例均不得低于70%。计算该支出比例时，可以用前三年收入平均数代替上年总收入。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不具有公开募捐资格的社会组织，前两年度每年用于公益慈善事业的支出占上年末净资产的比例均不得低于8%。计算该比例时，可以用前三年年末净资产平均数代替上年末净资产。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（四）具有公开募捐资格的社会组织，前两年度每年支出的管理费用占当年总支出的比例均不得高于10%。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不具有公开募捐资格的社会组织，前两年每年支出的管理费用占当年总支出的比例均不得高于12%。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（五）具有非营利组织免税资格，且免税资格在有效期内。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（六）前两年度未受到登记管理机关行政处罚（警告除外）。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（七）前两年度未被登记管理机关列入严重违法失信名单。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（八）社会组织评估等级为3A以上（含3A）且该评估结果在确认公益性捐赠税前扣除资格时仍在有效期内。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公益慈善事业支出、管理费用和总收入的标准和范围，按照《民政部 财政部</w:t>
      </w:r>
      <w:r>
        <w:rPr>
          <w:rFonts w:hint="eastAsia" w:ascii="微软雅黑" w:hAnsi="微软雅黑" w:eastAsia="微软雅黑" w:cs="微软雅黑"/>
          <w:i w:val="0"/>
          <w:caps w:val="0"/>
          <w:color w:val="333333"/>
          <w:spacing w:val="0"/>
          <w:sz w:val="30"/>
          <w:szCs w:val="30"/>
          <w:bdr w:val="none" w:color="auto" w:sz="0" w:space="0"/>
          <w:shd w:val="clear" w:fill="FFFFFF"/>
        </w:rPr>
        <w:t> </w:t>
      </w:r>
      <w:r>
        <w:rPr>
          <w:rFonts w:hint="eastAsia" w:ascii="仿宋_GB2312" w:hAnsi="微软雅黑" w:eastAsia="仿宋_GB2312" w:cs="仿宋_GB2312"/>
          <w:i w:val="0"/>
          <w:caps w:val="0"/>
          <w:color w:val="333333"/>
          <w:spacing w:val="0"/>
          <w:sz w:val="30"/>
          <w:szCs w:val="30"/>
          <w:bdr w:val="none" w:color="auto" w:sz="0" w:space="0"/>
          <w:shd w:val="clear" w:fill="FFFFFF"/>
        </w:rPr>
        <w:t>国家税务总局关于印发〈关于慈善组织开展慈善活动年度支出和管理费用的规定〉的通知》（民发〔2016〕189号）关于慈善活动支出、管理费用和上年总收入的有关规定执行。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按照《中华人民共和国慈善法》新设立或新认定的慈善组织，在其取得非营利组织免税资格的当年，只需要符合本条第一项、第六项、第七项条件即可。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五、公益性捐赠税前扣除资格的确认按以下规定执行：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一）在民政部登记注册的社会组织，由民政部结合社会组织公益活动情况和日常监督管理、评估等情况，对社会组织的公益性捐赠税前扣除资格进行核实，提出初步意见。根据民政部初步意见，财政部、税务总局和民政部对照本公告相关规定，联合确定具有公益性捐赠税前扣除资格的社会组织名单，并发布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（二）在省级和省级以下民政部门登记注册的社会组织，由省、自治区、直辖市和计划单列市财政、税务、民政部门参照本条第一项规定执行。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（三）公益性捐赠税前扣除资格的确认对象包括：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1.公益性捐赠税前扣除资格将于当年末到期的公益性社会组织；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2.已被取消公益性捐赠税前扣除资格但又重新符合条件的社会组织；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3.登记设立后尚未取得公益性捐赠税前扣除资格的社会组织。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（四）每年年底前，省级以上财政、税务、民政部门按权限完成公益性捐赠税前扣除资格的确认和名单发布工作，并按本条第三项规定的不同审核对象，分别列示名单及其公益性捐赠税前扣除资格起始时间。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六、公益性捐赠税前扣除资格在全国范围内有效，有效期为三年。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本公告第五条第三项规定的第一种情形，其公益性捐赠税前扣除资格自发布名单公告的次年1月1日起算。本公告第五条第三项规定的第二种和第三种情形，其公益性捐赠税前扣除资格自发布公告的当年1月1日起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七、公益性社会组织存在以下情形之一的，应当取消其公益性捐赠税前扣除资格：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（一）未按本公告规定时间和要求向登记管理机关报送专项信息报告的；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（二）最近一个年度用于公益慈善事业的支出不符合本公告第四条第三项规定的；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（三）最近一个年度支出的管理费用不符合本公告第四条第四项规定的；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（四）非营利组织免税资格到期后超过六个月未重新获取免税资格的；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（五）受到登记管理机关行政处罚（警告除外）的；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（六）被登记管理机关列入严重违法失信名单的；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（七）社会组织评估等级低于3A或者无评估等级的。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八、公益性社会组织存在以下情形之一的，应当取消其公益性捐赠税前扣除资格,且取消资格的当年及之后三个年度内不得重新确认资格：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（一）违反规定接受捐赠的，包括附加对捐赠人构成利益回报的条件、以捐赠为名从事营利性活动、利用慈善捐赠宣传烟草制品或法律禁止宣传的产品和事项、接受不符合公益目的或违背社会公德的捐赠等情形；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（二）开展违反组织章程的活动，或者接受的捐赠款项用于组织章程规定用途之外的；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（三）在确定捐赠财产的用途和受益人时，指定特定受益人，且该受益人与捐赠人或公益性社会组织管理人员存在明显利益关系的。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九、公益性社会组织存在以下情形之一的，应当取消其公益性捐赠税前扣除资格且不得重新确认资格：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（一）从事非法政治活动的；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（二）从事、资助危害国家安全或者社会公共利益活动的。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十、对应当取消公益性捐赠税前扣除资格的公益性社会组织，由省级以上财政、税务、民政部门核实相关信息后，按权限及时向社会发布取消资格名单公告。自发布公告的次月起，相关公益性社会组织不再具有公益性捐赠税前扣除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十一、公益性社会组织、县级以上人民政府及其部门等国家机关在接受捐赠时，应当按照行政管理级次分别使用由财政部或省、自治区、直辖市财政部门监（印）制的公益事业捐赠票据，并加盖本单位的印章。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企业或个人将符合条件的公益性捐赠支出进行税前扣除，应当留存相关票据备查。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十二、公益性社会组织登记成立时的注册资金捐赠人，在该公益性社会组织首次取得公益性捐赠税前扣除资格的当年进行所得税汇算清缴时，可按规定对其注册资金捐赠额进行税前扣除。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十三、除另有规定外，公益性社会组织、县级以上人民政府及其部门等国家机关在接受企业或个人捐赠时，按以下原则确认捐赠额：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（一）接受的货币性资产捐赠，以实际收到的金额确认捐赠额。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二）接受的非货币性资产捐赠，以其公允价值确认捐赠额。捐赠方在向公益性社会组织、县级以上人民政府及其部门等国家机关捐赠时，应当提供注明捐赠非货币性资产公允价值的证明；不能提供证明的，接受捐赠方不得向其开具捐赠票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十四、为方便纳税主体查询，省级以上财政、税务、民政部门应当及时在官方网站上发布具备公益性捐赠税前扣除资格的公益性社会组织名单公告。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企业或个人可通过上述渠道查询社会组织公益性捐赠税前扣除资格及有效期。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十五、本公告自2020年1月1日起执行。《财政部 国家税务总局 民政部关于公益性捐赠税前扣除有关问题的通知》（财税〔2008〕160 号）、《财政部 国家税务总局 民政部关于公益性捐赠税前扣除有关问题的补充通知》（财税〔2010〕45 号）、《财政部 国家税务总局 民政部关于公益性捐赠税前扣除资格确认审批有关调整事项的通知》（财税〔2015〕141号）同时废止。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尚未完成2019年度及以前年度社会组织公益性捐赠税前扣除资格确认工作的，各级财政、税务、民政部门按照原政策规定执行。2020年度及以后年度的公益性捐赠税前扣除资格的确认及管理按本公告规定执行。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600"/>
        <w:textAlignment w:val="auto"/>
        <w:rPr>
          <w:rFonts w:hint="eastAsia" w:ascii="仿宋_GB2312" w:hAnsi="微软雅黑" w:eastAsia="仿宋_GB2312" w:cs="仿宋_GB2312"/>
          <w:i w:val="0"/>
          <w:caps w:val="0"/>
          <w:color w:val="333333"/>
          <w:spacing w:val="0"/>
          <w:sz w:val="30"/>
          <w:szCs w:val="30"/>
          <w:bdr w:val="none" w:color="auto" w:sz="0" w:space="0"/>
          <w:shd w:val="clear" w:fill="FFFFFF"/>
        </w:rPr>
      </w:pPr>
      <w:r>
        <w:rPr>
          <w:rFonts w:hint="eastAsia" w:ascii="仿宋_GB2312" w:hAnsi="微软雅黑" w:eastAsia="仿宋_GB2312" w:cs="仿宋_GB2312"/>
          <w:i w:val="0"/>
          <w:caps w:val="0"/>
          <w:color w:val="333333"/>
          <w:spacing w:val="0"/>
          <w:sz w:val="30"/>
          <w:szCs w:val="30"/>
          <w:bdr w:val="none" w:color="auto" w:sz="0" w:space="0"/>
          <w:shd w:val="clear" w:fill="FFFFFF"/>
        </w:rPr>
        <w:t>特此公告。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600"/>
        <w:textAlignment w:val="auto"/>
        <w:rPr>
          <w:rFonts w:hint="eastAsia" w:ascii="仿宋_GB2312" w:hAnsi="微软雅黑" w:eastAsia="仿宋_GB2312" w:cs="仿宋_GB2312"/>
          <w:i w:val="0"/>
          <w:caps w:val="0"/>
          <w:color w:val="333333"/>
          <w:spacing w:val="0"/>
          <w:sz w:val="30"/>
          <w:szCs w:val="30"/>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600"/>
        <w:textAlignment w:val="auto"/>
        <w:rPr>
          <w:rFonts w:hint="eastAsia" w:ascii="仿宋_GB2312" w:hAnsi="微软雅黑" w:eastAsia="仿宋_GB2312" w:cs="仿宋_GB2312"/>
          <w:i w:val="0"/>
          <w:caps w:val="0"/>
          <w:color w:val="333333"/>
          <w:spacing w:val="0"/>
          <w:sz w:val="30"/>
          <w:szCs w:val="30"/>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jc w:val="righ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财政部  税务总局</w:t>
      </w:r>
      <w:r>
        <w:rPr>
          <w:rFonts w:hint="eastAsia" w:ascii="微软雅黑" w:hAnsi="微软雅黑" w:eastAsia="微软雅黑" w:cs="微软雅黑"/>
          <w:i w:val="0"/>
          <w:caps w:val="0"/>
          <w:color w:val="333333"/>
          <w:spacing w:val="0"/>
          <w:sz w:val="30"/>
          <w:szCs w:val="30"/>
          <w:bdr w:val="none" w:color="auto" w:sz="0" w:space="0"/>
          <w:shd w:val="clear" w:fill="FFFFFF"/>
        </w:rPr>
        <w:t>  </w:t>
      </w:r>
      <w:r>
        <w:rPr>
          <w:rFonts w:hint="eastAsia" w:ascii="仿宋_GB2312" w:hAnsi="微软雅黑" w:eastAsia="仿宋_GB2312" w:cs="仿宋_GB2312"/>
          <w:i w:val="0"/>
          <w:caps w:val="0"/>
          <w:color w:val="333333"/>
          <w:spacing w:val="0"/>
          <w:sz w:val="30"/>
          <w:szCs w:val="30"/>
          <w:bdr w:val="none" w:color="auto" w:sz="0" w:space="0"/>
          <w:shd w:val="clear" w:fill="FFFFFF"/>
        </w:rPr>
        <w:t>民政部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firstLine="0"/>
        <w:jc w:val="righ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2020年5月13日</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60092"/>
    <w:rsid w:val="096641B5"/>
    <w:rsid w:val="1A460092"/>
    <w:rsid w:val="2D8E1733"/>
    <w:rsid w:val="474F55A9"/>
    <w:rsid w:val="61B0120F"/>
    <w:rsid w:val="64C90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2020-08-24T01:08:00Z</dcterms:created>
  <dc:creator>荏苒</dc:creator>
  <cp:lastModifiedBy>荏苒</cp:lastModifiedBy>
  <dcterms:modified xsi:type="dcterms:W3CDTF">2020-08-24T01:54:23Z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