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ascii="微软雅黑" w:hAnsi="微软雅黑" w:eastAsia="微软雅黑" w:cs="微软雅黑"/>
          <w:i w:val="0"/>
          <w:caps w:val="0"/>
          <w:color w:val="000000"/>
          <w:spacing w:val="0"/>
          <w:sz w:val="24"/>
          <w:szCs w:val="24"/>
        </w:rPr>
      </w:pPr>
      <w:r>
        <w:rPr>
          <w:rFonts w:ascii="方正小标宋简体" w:hAnsi="方正小标宋简体" w:eastAsia="方正小标宋简体" w:cs="方正小标宋简体"/>
          <w:i w:val="0"/>
          <w:caps w:val="0"/>
          <w:color w:val="333333"/>
          <w:spacing w:val="0"/>
          <w:sz w:val="36"/>
          <w:szCs w:val="36"/>
          <w:bdr w:val="none" w:color="auto" w:sz="0" w:space="0"/>
          <w:shd w:val="clear" w:fill="FFFFFF"/>
        </w:rPr>
        <w:t>财政部</w:t>
      </w:r>
      <w:r>
        <w:rPr>
          <w:rFonts w:hint="eastAsia" w:ascii="方正小标宋简体" w:hAnsi="方正小标宋简体" w:eastAsia="方正小标宋简体" w:cs="方正小标宋简体"/>
          <w:i w:val="0"/>
          <w:caps w:val="0"/>
          <w:color w:val="333333"/>
          <w:spacing w:val="0"/>
          <w:sz w:val="36"/>
          <w:szCs w:val="36"/>
          <w:bdr w:val="none" w:color="auto" w:sz="0" w:space="0"/>
          <w:shd w:val="clear" w:fill="FFFFFF"/>
        </w:rPr>
        <w:t> 税务总局关于集成电路设计企业和软件企业2019年度企业所得税汇算清缴适用政策的公告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微软雅黑" w:hAnsi="微软雅黑" w:eastAsia="微软雅黑" w:cs="微软雅黑"/>
          <w:i w:val="0"/>
          <w:caps w:val="0"/>
          <w:color w:val="000000"/>
          <w:spacing w:val="0"/>
          <w:sz w:val="24"/>
          <w:szCs w:val="24"/>
        </w:rPr>
      </w:pPr>
      <w:r>
        <w:rPr>
          <w:rFonts w:ascii="仿宋_GB2312" w:hAnsi="微软雅黑" w:eastAsia="仿宋_GB2312" w:cs="仿宋_GB2312"/>
          <w:i w:val="0"/>
          <w:caps w:val="0"/>
          <w:color w:val="333333"/>
          <w:spacing w:val="0"/>
          <w:sz w:val="30"/>
          <w:szCs w:val="30"/>
          <w:bdr w:val="none" w:color="auto" w:sz="0" w:space="0"/>
          <w:shd w:val="clear" w:fill="FFFFFF"/>
        </w:rPr>
        <w:t>财政部</w:t>
      </w:r>
      <w:r>
        <w:rPr>
          <w:rFonts w:hint="eastAsia" w:ascii="仿宋_GB2312" w:hAnsi="微软雅黑" w:eastAsia="仿宋_GB2312" w:cs="仿宋_GB2312"/>
          <w:i w:val="0"/>
          <w:caps w:val="0"/>
          <w:color w:val="333333"/>
          <w:spacing w:val="0"/>
          <w:sz w:val="30"/>
          <w:szCs w:val="30"/>
          <w:bdr w:val="none" w:color="auto" w:sz="0" w:space="0"/>
          <w:shd w:val="clear" w:fill="FFFFFF"/>
        </w:rPr>
        <w:t> 税务总局公告2020年第29号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微软雅黑" w:hAnsi="微软雅黑" w:eastAsia="微软雅黑" w:cs="微软雅黑"/>
          <w:i w:val="0"/>
          <w:caps w:val="0"/>
          <w:color w:val="000000"/>
          <w:spacing w:val="0"/>
          <w:sz w:val="24"/>
          <w:szCs w:val="24"/>
        </w:rPr>
      </w:pPr>
      <w:bookmarkStart w:id="0" w:name="_GoBack"/>
      <w:bookmarkEnd w:id="0"/>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60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现就集成电路设计和软件产业2019年度企业所得税汇算清缴适用政策公告如下：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一、依法成立且符合条件的集成电路设计企业和软件企业，在2019年12月31日前自获利年度起计算优惠期，第一年至第二年免征企业所得税，第三年至第五年按照25%的法定税率减半征收企业所得税，并享受至期满为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二、本公告第一条所称“符合条件”是指符合《财政部 国家税务总局关于进一步鼓励软件产业和集成电路产业发展企业所得税政策的通知》（财税〔2012〕27号）和《财政部 国家税务总局 发展改革委 工业和信息化部关于软件和集成电路产业企业所得税优惠政策有关问题的通知》（财税〔2016〕49号）规定的条件。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特此公告。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财政部  税务总局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firstLine="0"/>
        <w:jc w:val="right"/>
        <w:textAlignment w:val="auto"/>
        <w:rPr>
          <w:rFonts w:hint="eastAsia" w:ascii="微软雅黑" w:hAnsi="微软雅黑" w:eastAsia="微软雅黑" w:cs="微软雅黑"/>
          <w:i w:val="0"/>
          <w:caps w:val="0"/>
          <w:color w:val="000000"/>
          <w:spacing w:val="0"/>
          <w:sz w:val="24"/>
          <w:szCs w:val="24"/>
        </w:rPr>
      </w:pPr>
      <w:r>
        <w:rPr>
          <w:rFonts w:hint="eastAsia" w:ascii="仿宋_GB2312" w:hAnsi="微软雅黑" w:eastAsia="仿宋_GB2312" w:cs="仿宋_GB2312"/>
          <w:i w:val="0"/>
          <w:caps w:val="0"/>
          <w:color w:val="333333"/>
          <w:spacing w:val="0"/>
          <w:sz w:val="30"/>
          <w:szCs w:val="30"/>
          <w:bdr w:val="none" w:color="auto" w:sz="0" w:space="0"/>
          <w:shd w:val="clear" w:fill="FFFFFF"/>
        </w:rPr>
        <w:t>　　                  2020年5月29日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60092"/>
    <w:rsid w:val="03315CC1"/>
    <w:rsid w:val="096641B5"/>
    <w:rsid w:val="1A460092"/>
    <w:rsid w:val="2D8E1733"/>
    <w:rsid w:val="36C327B4"/>
    <w:rsid w:val="474F55A9"/>
    <w:rsid w:val="61B0120F"/>
    <w:rsid w:val="64C90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2020-08-24T01:08:00Z</dcterms:created>
  <dc:creator>荏苒</dc:creator>
  <cp:lastModifiedBy>荏苒</cp:lastModifiedBy>
  <dcterms:modified xsi:type="dcterms:W3CDTF">2020-08-24T02:00:37Z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