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jc w:val="center"/>
        <w:textAlignment w:val="auto"/>
        <w:rPr>
          <w:rFonts w:ascii="微软雅黑" w:hAnsi="微软雅黑" w:eastAsia="微软雅黑" w:cs="微软雅黑"/>
          <w:i w:val="0"/>
          <w:caps w:val="0"/>
          <w:color w:val="000000"/>
          <w:spacing w:val="0"/>
          <w:sz w:val="24"/>
          <w:szCs w:val="24"/>
        </w:rPr>
      </w:pPr>
      <w:r>
        <w:rPr>
          <w:rFonts w:ascii="方正小标宋简体" w:hAnsi="方正小标宋简体" w:eastAsia="方正小标宋简体" w:cs="方正小标宋简体"/>
          <w:i w:val="0"/>
          <w:caps w:val="0"/>
          <w:color w:val="333333"/>
          <w:spacing w:val="0"/>
          <w:sz w:val="36"/>
          <w:szCs w:val="36"/>
          <w:bdr w:val="none" w:color="auto" w:sz="0" w:space="0"/>
          <w:shd w:val="clear" w:fill="FFFFFF"/>
        </w:rPr>
        <w:t>财政部</w:t>
      </w: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 税务总局关于资源税有关问题执行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jc w:val="center"/>
        <w:textAlignment w:val="auto"/>
        <w:rPr>
          <w:rFonts w:hint="eastAsia" w:ascii="微软雅黑" w:hAnsi="微软雅黑" w:eastAsia="微软雅黑" w:cs="微软雅黑"/>
          <w:i w:val="0"/>
          <w:caps w:val="0"/>
          <w:color w:val="000000"/>
          <w:spacing w:val="0"/>
          <w:sz w:val="24"/>
          <w:szCs w:val="24"/>
        </w:rPr>
      </w:pP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口径的公告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jc w:val="center"/>
        <w:textAlignment w:val="auto"/>
        <w:rPr>
          <w:rFonts w:hint="eastAsia"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333333"/>
          <w:spacing w:val="0"/>
          <w:sz w:val="30"/>
          <w:szCs w:val="30"/>
          <w:bdr w:val="none" w:color="auto" w:sz="0" w:space="0"/>
          <w:shd w:val="clear" w:fill="FFFFFF"/>
        </w:rPr>
        <w:t>财政部</w:t>
      </w:r>
      <w:r>
        <w:rPr>
          <w:rFonts w:hint="eastAsia" w:ascii="仿宋_GB2312" w:hAnsi="微软雅黑" w:eastAsia="仿宋_GB2312" w:cs="仿宋_GB2312"/>
          <w:i w:val="0"/>
          <w:caps w:val="0"/>
          <w:color w:val="333333"/>
          <w:spacing w:val="0"/>
          <w:sz w:val="30"/>
          <w:szCs w:val="30"/>
          <w:bdr w:val="none" w:color="auto" w:sz="0" w:space="0"/>
          <w:shd w:val="clear" w:fill="FFFFFF"/>
        </w:rPr>
        <w:t> 税务总局公告2020年第34号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jc w:val="lef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60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为贯彻落实《中华人民共和国资源税法》，现将资源税有关问题执行口径公告如下：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一、资源税应税产品（以下简称应税产品）的销售额，按照纳税人销售应税产品向购买方收取的全部价款确定，不包括增值税税款。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计入销售额中的相关运杂费用，凡取得增值税发票或者其他合法有效凭据的，准予从销售额中扣除。相关运杂费用是指应税产品从坑口或者洗选（加工）地到车站、码头或者购买方指定地点的运输费用、建设基金以及随运销产生的装卸、仓储、港杂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二、纳税人自用应税产品应当缴纳资源税的情形，包括纳税人以应税产品用于非货币性资产交换、捐赠、偿债、赞助、集资、投资、广告、样品、职工福利、利润分配或者连续生产非应税产品等。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三、纳税人申报的应税产品销售额明显偏低且无正当理由的，或者有自用应税产品行为而无销售额的，主管税务机关可以按下列方法和顺序确定其应税产品销售额：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（一）按纳税人最近时期同类产品的平均销售价格确定。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（二）按其他纳税人最近时期同类产品的平均销售价格确定。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（三）按后续加工非应税产品销售价格，减去后续加工环节的成本利润后确定。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（四）按应税产品组成计税价格确定。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组成计税价格＝成本×（1+成本利润率）÷（1-资源税税率）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上述公式中的成本利润率由省、自治区、直辖市税务机关确定。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（五）按其他合理方法确定。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四、应税产品的销售数量，包括纳税人开采或者生产应税产品的实际销售数量和自用于应当缴纳资源税情形的应税产品数量。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五、纳税人外购应税产品与自采应税产品混合销售或者混合加工为应税产品销售的，在计算应税产品销售额或者销售数量时，准予扣减外购应税产品的购进金额或者购进数量；当期不足扣减的，可结转下期扣减。纳税人应当准确核算外购应税产品的购进金额或者购进数量，未准确核算的，一并计算缴纳资源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纳税人核算并扣减当期外购应税产品购进金额、购进数量，应当依据外购应税产品的增值税发票、海关进口增值税专用缴款书或者其他合法有效凭据。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六、纳税人开采或者生产同一税目下适用不同税率应税产品的，应当分别核算不同税率应税产品的销售额或者销售数量；未分别核算或者不能准确提供不同税率应税产品的销售额或者销售数量的，从高适用税率。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七、纳税人以自采原矿（经过采矿过程采出后未进行选矿或者加工的矿石）直接销售，或者自用于应当缴纳资源税情形的，按照原矿计征资源税。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纳税人以自采原矿洗选加工为选矿产品（通过破碎、切割、洗选、筛分、磨矿、分级、提纯、脱水、干燥等过程形成的产品，包括富集的精矿和研磨成粉、粒级成型、切割成型的原矿加工品）销售，或者将选矿产品自用于应当缴纳资源税情形的，按照选矿产品计征资源税，在原矿移送环节不缴纳资源税。对于无法区分原生岩石矿种的粒级成型砂石颗粒，按照砂石税目征收资源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八、纳税人开采或者生产同一应税产品，其中既有享受减免税政策的，又有不享受减免税政策的，按照免税、减税项目的产量占比等方法分别核算确定免税、减税项目的销售额或者销售数量。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九、纳税人开采或者生产同一应税产品同时符合两项或者两项以上减征资源税优惠政策的，除另有规定外，只能选择其中一项执行。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十、纳税人应当在矿产品的开采地或者海盐的生产地缴纳资源税。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十一、海上开采的原油和天然气资源税由海洋石油税务管理机构征收管理。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十二、本公告自2020年9月1日起施行。《财政部 国家税务总局关于实施煤炭资源税改革的通知》（财税〔2014〕72号）、《财政部 国家税务总局关于调整原油 天然气资源税有关政策的通知》（财税〔2014〕73号）、《财政部 国家税务总局关于实施稀土 钨 钼资源税从价计征改革的通知》（财税〔2015〕52号）、《财政部 国家税务总局关于全面推进资源税改革的通知》（财税〔2016〕53号）、《财政部 国家税务总局关于资源税改革具体政策问题的通知》（财税〔2016〕54号）同时废止。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jc w:val="righ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jc w:val="right"/>
        <w:textAlignment w:val="auto"/>
        <w:rPr>
          <w:rFonts w:hint="eastAsia" w:ascii="微软雅黑" w:hAnsi="微软雅黑" w:eastAsia="微软雅黑" w:cs="微软雅黑"/>
          <w:i w:val="0"/>
          <w:caps w:val="0"/>
          <w:color w:val="000000"/>
          <w:spacing w:val="0"/>
          <w:sz w:val="24"/>
          <w:szCs w:val="24"/>
        </w:rPr>
      </w:pPr>
      <w:bookmarkStart w:id="0" w:name="_GoBack"/>
      <w:bookmarkEnd w:id="0"/>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jc w:val="righ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财政部 税务总局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exact"/>
        <w:ind w:left="0" w:firstLine="0"/>
        <w:jc w:val="righ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2020年6月28日</w:t>
      </w:r>
    </w:p>
    <w:p>
      <w:pPr>
        <w:keepNext w:val="0"/>
        <w:keepLines w:val="0"/>
        <w:pageBreakBefore w:val="0"/>
        <w:kinsoku/>
        <w:wordWrap/>
        <w:overflowPunct/>
        <w:topLinePunct w:val="0"/>
        <w:autoSpaceDE/>
        <w:autoSpaceDN/>
        <w:bidi w:val="0"/>
        <w:adjustRightInd/>
        <w:snapToGrid/>
        <w:spacing w:beforeAutospacing="0" w:afterAutospacing="0" w:line="6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60092"/>
    <w:rsid w:val="03315CC1"/>
    <w:rsid w:val="096641B5"/>
    <w:rsid w:val="13A009D7"/>
    <w:rsid w:val="1A460092"/>
    <w:rsid w:val="2D8E1733"/>
    <w:rsid w:val="36C327B4"/>
    <w:rsid w:val="474F55A9"/>
    <w:rsid w:val="61B0120F"/>
    <w:rsid w:val="64C909A7"/>
    <w:rsid w:val="6FF376AE"/>
    <w:rsid w:val="7DE71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2020-08-24T01:08:00Z</dcterms:created>
  <dc:creator>荏苒</dc:creator>
  <cp:lastModifiedBy>荏苒</cp:lastModifiedBy>
  <dcterms:modified xsi:type="dcterms:W3CDTF">2020-08-24T02:08:04Z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