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_GBK" w:cs="Times New Roman"/>
          <w:sz w:val="32"/>
          <w:szCs w:val="32"/>
          <w:lang w:eastAsia="zh-CN"/>
        </w:rPr>
      </w:pPr>
      <w:bookmarkStart w:id="0" w:name="_GoBack"/>
      <w:r>
        <w:rPr>
          <w:rFonts w:hint="eastAsia" w:ascii="Times New Roman" w:hAnsi="Times New Roman" w:eastAsia="方正仿宋_GBK" w:cs="Times New Roman"/>
          <w:sz w:val="32"/>
          <w:szCs w:val="32"/>
          <w:lang w:val="en-US" w:eastAsia="zh-CN"/>
        </w:rPr>
        <w:t>新平县</w:t>
      </w:r>
      <w:r>
        <w:rPr>
          <w:rFonts w:hint="default" w:ascii="Times New Roman" w:hAnsi="Times New Roman" w:eastAsia="方正仿宋_GBK" w:cs="Times New Roman"/>
          <w:sz w:val="32"/>
          <w:szCs w:val="32"/>
          <w:lang w:val="en-US" w:eastAsia="zh-CN"/>
        </w:rPr>
        <w:t>医保中心参保人员在职转退休</w:t>
      </w:r>
      <w:r>
        <w:rPr>
          <w:rFonts w:hint="default" w:ascii="Times New Roman" w:hAnsi="Times New Roman" w:eastAsia="方正仿宋_GBK" w:cs="Times New Roman"/>
          <w:sz w:val="32"/>
          <w:szCs w:val="32"/>
          <w:lang w:eastAsia="zh-CN"/>
        </w:rPr>
        <w:t>工作流程</w:t>
      </w:r>
    </w:p>
    <w:bookmarkEnd w:id="0"/>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受理条件：参保人员达到国家法定退休年龄（男满60周岁，女满55周岁）或经组织部、人力资源和社会保障局批准退休；</w:t>
      </w:r>
    </w:p>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所需材料：1、组织部、人力资源和社会保障局退休审批表（机关事业退休人员）或企业退休人员呈报表；2、社会保险局认定的养老金审核表；(暂不能提供此表的，可先持其他资料办理医保在职转退休手续，待养老金核发后，带养老金审核表及《参保人员退休申报表》第二联、第三联办理补划费用手续)；4、填写《参保人员退休申报表》（单位参保人员须加盖单位公章）；5、养老保险属于行业统筹或在省级参保的用人单位，在我市办理在职转退休时，还需提供经医保经办机构批准的单位申请；养老保险退休审批不在玉溪办理的灵活就业人员，需提供养老保险退休所在地人力资源和社会保障行政部门的审批认定资料。</w:t>
      </w:r>
    </w:p>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三、以上材料齐全即时办理</w:t>
      </w: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参保人员在职转退休经办流程</w:t>
      </w:r>
    </w:p>
    <w:p>
      <w:pPr>
        <w:jc w:val="center"/>
        <w:rPr>
          <w:rFonts w:ascii="仿宋_GB2312" w:eastAsia="仿宋_GB2312"/>
          <w:sz w:val="44"/>
          <w:szCs w:val="44"/>
        </w:rPr>
      </w:pPr>
      <w:r>
        <w:rPr>
          <w:sz w:val="21"/>
        </w:rPr>
        <mc:AlternateContent>
          <mc:Choice Requires="wps">
            <w:drawing>
              <wp:anchor distT="0" distB="0" distL="114300" distR="114300" simplePos="0" relativeHeight="251886592" behindDoc="0" locked="0" layoutInCell="1" allowOverlap="1">
                <wp:simplePos x="0" y="0"/>
                <wp:positionH relativeFrom="column">
                  <wp:posOffset>2348230</wp:posOffset>
                </wp:positionH>
                <wp:positionV relativeFrom="paragraph">
                  <wp:posOffset>120015</wp:posOffset>
                </wp:positionV>
                <wp:extent cx="3315335" cy="871855"/>
                <wp:effectExtent l="6350" t="6350" r="15875" b="20955"/>
                <wp:wrapNone/>
                <wp:docPr id="404" name="矩形 239"/>
                <wp:cNvGraphicFramePr/>
                <a:graphic xmlns:a="http://schemas.openxmlformats.org/drawingml/2006/main">
                  <a:graphicData uri="http://schemas.microsoft.com/office/word/2010/wordprocessingShape">
                    <wps:wsp>
                      <wps:cNvSpPr/>
                      <wps:spPr>
                        <a:xfrm>
                          <a:off x="0" y="0"/>
                          <a:ext cx="3315335" cy="871855"/>
                        </a:xfrm>
                        <a:prstGeom prst="rect">
                          <a:avLst/>
                        </a:prstGeom>
                        <a:solidFill>
                          <a:srgbClr val="FFFFFF">
                            <a:alpha val="100000"/>
                          </a:srgbClr>
                        </a:solidFill>
                        <a:ln w="12700" cap="flat" cmpd="sng">
                          <a:solidFill>
                            <a:srgbClr val="000000"/>
                          </a:solidFill>
                          <a:prstDash val="solid"/>
                          <a:miter/>
                          <a:headEnd type="none" w="med" len="med"/>
                          <a:tailEnd type="none" w="med" len="med"/>
                        </a:ln>
                        <a:effectLst/>
                      </wps:spPr>
                      <wps:txbx>
                        <w:txbxContent>
                          <w:p>
                            <w:pPr>
                              <w:jc w:val="left"/>
                              <w:rPr>
                                <w:rFonts w:hint="eastAsia"/>
                                <w:sz w:val="18"/>
                                <w:szCs w:val="18"/>
                                <w:lang w:eastAsia="zh-CN"/>
                              </w:rPr>
                            </w:pPr>
                            <w:r>
                              <w:rPr>
                                <w:rFonts w:hint="eastAsia"/>
                                <w:sz w:val="18"/>
                                <w:szCs w:val="18"/>
                                <w:lang w:eastAsia="zh-CN"/>
                              </w:rPr>
                              <w:t>提供资料：</w:t>
                            </w:r>
                            <w:r>
                              <w:rPr>
                                <w:rFonts w:hint="eastAsia"/>
                                <w:sz w:val="18"/>
                                <w:szCs w:val="18"/>
                              </w:rPr>
                              <w:t>1、</w:t>
                            </w:r>
                            <w:r>
                              <w:rPr>
                                <w:rFonts w:hint="eastAsia"/>
                                <w:sz w:val="18"/>
                                <w:szCs w:val="18"/>
                                <w:lang w:eastAsia="zh-CN"/>
                              </w:rPr>
                              <w:t>组织部、人力资源和社会保障局</w:t>
                            </w:r>
                            <w:r>
                              <w:rPr>
                                <w:rFonts w:hint="eastAsia"/>
                                <w:sz w:val="18"/>
                                <w:szCs w:val="18"/>
                              </w:rPr>
                              <w:t>退休</w:t>
                            </w:r>
                            <w:r>
                              <w:rPr>
                                <w:rFonts w:hint="eastAsia"/>
                                <w:sz w:val="18"/>
                                <w:szCs w:val="18"/>
                                <w:lang w:eastAsia="zh-CN"/>
                              </w:rPr>
                              <w:t>审批</w:t>
                            </w:r>
                            <w:r>
                              <w:rPr>
                                <w:rFonts w:hint="eastAsia"/>
                                <w:sz w:val="18"/>
                                <w:szCs w:val="18"/>
                              </w:rPr>
                              <w:t>表</w:t>
                            </w:r>
                            <w:r>
                              <w:rPr>
                                <w:rFonts w:hint="eastAsia"/>
                                <w:sz w:val="18"/>
                                <w:szCs w:val="18"/>
                                <w:lang w:eastAsia="zh-CN"/>
                              </w:rPr>
                              <w:t>（机关事业退休人员）或企业退休人员呈报表</w:t>
                            </w:r>
                            <w:r>
                              <w:rPr>
                                <w:rFonts w:hint="eastAsia"/>
                                <w:sz w:val="18"/>
                                <w:szCs w:val="18"/>
                              </w:rPr>
                              <w:t>；2、社会保险局</w:t>
                            </w:r>
                            <w:r>
                              <w:rPr>
                                <w:rFonts w:hint="eastAsia"/>
                                <w:sz w:val="18"/>
                                <w:szCs w:val="18"/>
                                <w:lang w:eastAsia="zh-CN"/>
                              </w:rPr>
                              <w:t>认定</w:t>
                            </w:r>
                            <w:r>
                              <w:rPr>
                                <w:rFonts w:hint="eastAsia"/>
                                <w:sz w:val="18"/>
                                <w:szCs w:val="18"/>
                              </w:rPr>
                              <w:t>的养老金</w:t>
                            </w:r>
                            <w:r>
                              <w:rPr>
                                <w:rFonts w:hint="eastAsia"/>
                                <w:sz w:val="18"/>
                                <w:szCs w:val="18"/>
                                <w:lang w:eastAsia="zh-CN"/>
                              </w:rPr>
                              <w:t>审核表</w:t>
                            </w:r>
                            <w:r>
                              <w:rPr>
                                <w:rFonts w:hint="eastAsia"/>
                                <w:sz w:val="18"/>
                                <w:szCs w:val="18"/>
                              </w:rPr>
                              <w:t>；</w:t>
                            </w:r>
                            <w:r>
                              <w:rPr>
                                <w:rFonts w:hint="eastAsia"/>
                                <w:sz w:val="18"/>
                                <w:szCs w:val="18"/>
                                <w:lang w:val="en-US" w:eastAsia="zh-CN"/>
                              </w:rPr>
                              <w:t>3</w:t>
                            </w:r>
                            <w:r>
                              <w:rPr>
                                <w:rFonts w:hint="eastAsia"/>
                                <w:sz w:val="18"/>
                                <w:szCs w:val="18"/>
                              </w:rPr>
                              <w:t>、</w:t>
                            </w:r>
                            <w:r>
                              <w:rPr>
                                <w:rFonts w:hint="eastAsia"/>
                                <w:sz w:val="18"/>
                                <w:szCs w:val="18"/>
                                <w:lang w:eastAsia="zh-CN"/>
                              </w:rPr>
                              <w:t>填写《参保人员退休申报表》（单位参保人员须加盖单位公章）。</w:t>
                            </w:r>
                          </w:p>
                          <w:p>
                            <w:pPr>
                              <w:rPr>
                                <w:rFonts w:hint="eastAsia" w:eastAsia="宋体"/>
                                <w:sz w:val="15"/>
                                <w:szCs w:val="15"/>
                                <w:lang w:eastAsia="zh-CN"/>
                              </w:rPr>
                            </w:pPr>
                          </w:p>
                        </w:txbxContent>
                      </wps:txbx>
                      <wps:bodyPr wrap="square" lIns="91439" tIns="45719" rIns="91439" bIns="45719" upright="1"/>
                    </wps:wsp>
                  </a:graphicData>
                </a:graphic>
              </wp:anchor>
            </w:drawing>
          </mc:Choice>
          <mc:Fallback>
            <w:pict>
              <v:rect id="矩形 239" o:spid="_x0000_s1026" o:spt="1" style="position:absolute;left:0pt;margin-left:184.9pt;margin-top:9.45pt;height:68.65pt;width:261.05pt;z-index:251886592;mso-width-relative:page;mso-height-relative:page;" fillcolor="#FFFFFF" filled="t" stroked="t" coordsize="21600,21600" o:gfxdata="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NlaF3X&#10;AAAACgEAAA8AAAAAAAAAAQAgAAAAIgAAAGRycy9kb3ducmV2LnhtbFBLAQIUABQAAAAIAIdO4kCv&#10;hnpJIQIAAFIEAAAOAAAAAAAAAAEAIAAAACYBAABkcnMvZTJvRG9jLnhtbFBLBQYAAAAABgAGAFkB&#10;AAC5BQAAAAA=&#10;">
                <v:fill on="t" focussize="0,0"/>
                <v:stroke weight="1pt" color="#000000" joinstyle="miter"/>
                <v:imagedata o:title=""/>
                <o:lock v:ext="edit" aspectratio="f"/>
                <v:textbox inset="7.19992125984252pt,3.59992125984252pt,7.19992125984252pt,3.59992125984252pt">
                  <w:txbxContent>
                    <w:p>
                      <w:pPr>
                        <w:jc w:val="left"/>
                        <w:rPr>
                          <w:rFonts w:hint="eastAsia"/>
                          <w:sz w:val="18"/>
                          <w:szCs w:val="18"/>
                          <w:lang w:eastAsia="zh-CN"/>
                        </w:rPr>
                      </w:pPr>
                      <w:r>
                        <w:rPr>
                          <w:rFonts w:hint="eastAsia"/>
                          <w:sz w:val="18"/>
                          <w:szCs w:val="18"/>
                          <w:lang w:eastAsia="zh-CN"/>
                        </w:rPr>
                        <w:t>提供资料：</w:t>
                      </w:r>
                      <w:r>
                        <w:rPr>
                          <w:rFonts w:hint="eastAsia"/>
                          <w:sz w:val="18"/>
                          <w:szCs w:val="18"/>
                        </w:rPr>
                        <w:t>1、</w:t>
                      </w:r>
                      <w:r>
                        <w:rPr>
                          <w:rFonts w:hint="eastAsia"/>
                          <w:sz w:val="18"/>
                          <w:szCs w:val="18"/>
                          <w:lang w:eastAsia="zh-CN"/>
                        </w:rPr>
                        <w:t>组织部、人力资源和社会保障局</w:t>
                      </w:r>
                      <w:r>
                        <w:rPr>
                          <w:rFonts w:hint="eastAsia"/>
                          <w:sz w:val="18"/>
                          <w:szCs w:val="18"/>
                        </w:rPr>
                        <w:t>退休</w:t>
                      </w:r>
                      <w:r>
                        <w:rPr>
                          <w:rFonts w:hint="eastAsia"/>
                          <w:sz w:val="18"/>
                          <w:szCs w:val="18"/>
                          <w:lang w:eastAsia="zh-CN"/>
                        </w:rPr>
                        <w:t>审批</w:t>
                      </w:r>
                      <w:r>
                        <w:rPr>
                          <w:rFonts w:hint="eastAsia"/>
                          <w:sz w:val="18"/>
                          <w:szCs w:val="18"/>
                        </w:rPr>
                        <w:t>表</w:t>
                      </w:r>
                      <w:r>
                        <w:rPr>
                          <w:rFonts w:hint="eastAsia"/>
                          <w:sz w:val="18"/>
                          <w:szCs w:val="18"/>
                          <w:lang w:eastAsia="zh-CN"/>
                        </w:rPr>
                        <w:t>（机关事业退休人员）或企业退休人员呈报表</w:t>
                      </w:r>
                      <w:r>
                        <w:rPr>
                          <w:rFonts w:hint="eastAsia"/>
                          <w:sz w:val="18"/>
                          <w:szCs w:val="18"/>
                        </w:rPr>
                        <w:t>；2、社会保险局</w:t>
                      </w:r>
                      <w:r>
                        <w:rPr>
                          <w:rFonts w:hint="eastAsia"/>
                          <w:sz w:val="18"/>
                          <w:szCs w:val="18"/>
                          <w:lang w:eastAsia="zh-CN"/>
                        </w:rPr>
                        <w:t>认定</w:t>
                      </w:r>
                      <w:r>
                        <w:rPr>
                          <w:rFonts w:hint="eastAsia"/>
                          <w:sz w:val="18"/>
                          <w:szCs w:val="18"/>
                        </w:rPr>
                        <w:t>的养老金</w:t>
                      </w:r>
                      <w:r>
                        <w:rPr>
                          <w:rFonts w:hint="eastAsia"/>
                          <w:sz w:val="18"/>
                          <w:szCs w:val="18"/>
                          <w:lang w:eastAsia="zh-CN"/>
                        </w:rPr>
                        <w:t>审核表</w:t>
                      </w:r>
                      <w:r>
                        <w:rPr>
                          <w:rFonts w:hint="eastAsia"/>
                          <w:sz w:val="18"/>
                          <w:szCs w:val="18"/>
                        </w:rPr>
                        <w:t>；</w:t>
                      </w:r>
                      <w:r>
                        <w:rPr>
                          <w:rFonts w:hint="eastAsia"/>
                          <w:sz w:val="18"/>
                          <w:szCs w:val="18"/>
                          <w:lang w:val="en-US" w:eastAsia="zh-CN"/>
                        </w:rPr>
                        <w:t>3</w:t>
                      </w:r>
                      <w:r>
                        <w:rPr>
                          <w:rFonts w:hint="eastAsia"/>
                          <w:sz w:val="18"/>
                          <w:szCs w:val="18"/>
                        </w:rPr>
                        <w:t>、</w:t>
                      </w:r>
                      <w:r>
                        <w:rPr>
                          <w:rFonts w:hint="eastAsia"/>
                          <w:sz w:val="18"/>
                          <w:szCs w:val="18"/>
                          <w:lang w:eastAsia="zh-CN"/>
                        </w:rPr>
                        <w:t>填写《参保人员退休申报表》（单位参保人员须加盖单位公章）。</w:t>
                      </w:r>
                    </w:p>
                    <w:p>
                      <w:pPr>
                        <w:rPr>
                          <w:rFonts w:hint="eastAsia" w:eastAsia="宋体"/>
                          <w:sz w:val="15"/>
                          <w:szCs w:val="15"/>
                          <w:lang w:eastAsia="zh-CN"/>
                        </w:rPr>
                      </w:pPr>
                    </w:p>
                  </w:txbxContent>
                </v:textbox>
              </v:rect>
            </w:pict>
          </mc:Fallback>
        </mc:AlternateContent>
      </w:r>
    </w:p>
    <w:p>
      <w:pPr>
        <w:jc w:val="center"/>
        <w:rPr>
          <w:rFonts w:ascii="仿宋_GB2312" w:eastAsia="仿宋_GB2312"/>
          <w:sz w:val="44"/>
          <w:szCs w:val="44"/>
        </w:rPr>
      </w:pPr>
      <w:r>
        <w:rPr>
          <w:rFonts w:hint="eastAsia" w:ascii="宋体" w:hAnsi="宋体" w:eastAsia="宋体" w:cs="宋体"/>
          <w:kern w:val="2"/>
          <w:sz w:val="21"/>
          <w:szCs w:val="24"/>
          <w:lang w:val="en-US" w:eastAsia="zh-CN" w:bidi="ar-SA"/>
        </w:rPr>
        <w:drawing>
          <wp:anchor distT="0" distB="0" distL="114300" distR="114300" simplePos="0" relativeHeight="251881472" behindDoc="0" locked="0" layoutInCell="1" allowOverlap="1">
            <wp:simplePos x="0" y="0"/>
            <wp:positionH relativeFrom="page">
              <wp:posOffset>139700</wp:posOffset>
            </wp:positionH>
            <wp:positionV relativeFrom="page">
              <wp:posOffset>2227580</wp:posOffset>
            </wp:positionV>
            <wp:extent cx="7067550" cy="6867525"/>
            <wp:effectExtent l="0" t="0" r="3810" b="5715"/>
            <wp:wrapNone/>
            <wp:docPr id="399" name="图片框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框 1260"/>
                    <pic:cNvPicPr>
                      <a:picLocks noChangeAspect="1"/>
                    </pic:cNvPicPr>
                  </pic:nvPicPr>
                  <pic:blipFill>
                    <a:blip r:embed="rId4"/>
                    <a:stretch>
                      <a:fillRect/>
                    </a:stretch>
                  </pic:blipFill>
                  <pic:spPr>
                    <a:xfrm>
                      <a:off x="0" y="0"/>
                      <a:ext cx="7067550" cy="6867525"/>
                    </a:xfrm>
                    <a:prstGeom prst="rect">
                      <a:avLst/>
                    </a:prstGeom>
                    <a:noFill/>
                    <a:ln w="9525">
                      <a:noFill/>
                    </a:ln>
                    <a:effectLst/>
                  </pic:spPr>
                </pic:pic>
              </a:graphicData>
            </a:graphic>
          </wp:anchor>
        </w:drawing>
      </w:r>
      <w:r>
        <w:rPr>
          <w:rFonts w:hint="eastAsia" w:ascii="仿宋_GB2312" w:eastAsia="仿宋_GB2312"/>
          <w:sz w:val="44"/>
          <w:szCs w:val="44"/>
          <w:lang w:eastAsia="zh-CN"/>
        </w:rPr>
        <w:t>申</w:t>
      </w:r>
    </w:p>
    <w:p>
      <w:pPr>
        <w:rPr>
          <w:sz w:val="28"/>
          <w:szCs w:val="28"/>
        </w:rPr>
        <w:sectPr>
          <w:pgSz w:w="11906" w:h="16838"/>
          <w:pgMar w:top="567" w:right="0" w:bottom="283" w:left="0" w:header="851" w:footer="992" w:gutter="0"/>
          <w:cols w:space="720" w:num="1"/>
          <w:docGrid w:type="lines" w:linePitch="312" w:charSpace="0"/>
        </w:sect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562F5"/>
    <w:rsid w:val="19AF0443"/>
    <w:rsid w:val="1B195873"/>
    <w:rsid w:val="265D044B"/>
    <w:rsid w:val="467562F5"/>
    <w:rsid w:val="65C077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2019-08-16T03:05:00Z</dcterms:created>
  <dc:creator>dell</dc:creator>
  <cp:lastModifiedBy>杨晓</cp:lastModifiedBy>
  <dcterms:modified xsi:type="dcterms:W3CDTF">2020-10-16T08:38:00Z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