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城乡居民基本医疗保险住院待遇及报销流程</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一、参保人员在定点医院发生的符合城乡居民基本医疗保险基金支付范围的住院医疗费用，个人起付标准及报销比例如下表：</w:t>
      </w:r>
    </w:p>
    <w:tbl>
      <w:tblPr>
        <w:tblStyle w:val="3"/>
        <w:tblW w:w="8320" w:type="dxa"/>
        <w:tblCellSpacing w:w="0" w:type="dxa"/>
        <w:tblInd w:w="15" w:type="dxa"/>
        <w:shd w:val="clear" w:color="auto" w:fill="auto"/>
        <w:tblLayout w:type="fixed"/>
        <w:tblCellMar>
          <w:top w:w="0" w:type="dxa"/>
          <w:left w:w="0" w:type="dxa"/>
          <w:bottom w:w="0" w:type="dxa"/>
          <w:right w:w="0" w:type="dxa"/>
        </w:tblCellMar>
      </w:tblPr>
      <w:tblGrid>
        <w:gridCol w:w="2080"/>
        <w:gridCol w:w="1020"/>
        <w:gridCol w:w="1400"/>
        <w:gridCol w:w="1560"/>
        <w:gridCol w:w="2260"/>
      </w:tblGrid>
      <w:tr>
        <w:tblPrEx>
          <w:shd w:val="clear" w:color="auto" w:fill="auto"/>
          <w:tblLayout w:type="fixed"/>
          <w:tblCellMar>
            <w:top w:w="0" w:type="dxa"/>
            <w:left w:w="0" w:type="dxa"/>
            <w:bottom w:w="0" w:type="dxa"/>
            <w:right w:w="0" w:type="dxa"/>
          </w:tblCellMar>
        </w:tblPrEx>
        <w:trPr>
          <w:trHeight w:val="780" w:hRule="atLeast"/>
          <w:tblCellSpacing w:w="0" w:type="dxa"/>
        </w:trPr>
        <w:tc>
          <w:tcPr>
            <w:tcW w:w="208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医疗机构</w:t>
            </w:r>
          </w:p>
        </w:tc>
        <w:tc>
          <w:tcPr>
            <w:tcW w:w="102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一级</w:t>
            </w:r>
          </w:p>
        </w:tc>
        <w:tc>
          <w:tcPr>
            <w:tcW w:w="140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二级</w:t>
            </w:r>
          </w:p>
        </w:tc>
        <w:tc>
          <w:tcPr>
            <w:tcW w:w="156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三级</w:t>
            </w:r>
          </w:p>
        </w:tc>
        <w:tc>
          <w:tcPr>
            <w:tcW w:w="226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省外</w:t>
            </w:r>
          </w:p>
        </w:tc>
      </w:tr>
      <w:tr>
        <w:tblPrEx>
          <w:tblLayout w:type="fixed"/>
          <w:tblCellMar>
            <w:top w:w="0" w:type="dxa"/>
            <w:left w:w="0" w:type="dxa"/>
            <w:bottom w:w="0" w:type="dxa"/>
            <w:right w:w="0" w:type="dxa"/>
          </w:tblCellMar>
        </w:tblPrEx>
        <w:trPr>
          <w:trHeight w:val="540" w:hRule="atLeast"/>
          <w:tblCellSpacing w:w="0" w:type="dxa"/>
        </w:trPr>
        <w:tc>
          <w:tcPr>
            <w:tcW w:w="208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起付标准</w:t>
            </w:r>
          </w:p>
        </w:tc>
        <w:tc>
          <w:tcPr>
            <w:tcW w:w="102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300元</w:t>
            </w:r>
          </w:p>
        </w:tc>
        <w:tc>
          <w:tcPr>
            <w:tcW w:w="140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600元</w:t>
            </w:r>
          </w:p>
        </w:tc>
        <w:tc>
          <w:tcPr>
            <w:tcW w:w="156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800元</w:t>
            </w:r>
          </w:p>
        </w:tc>
        <w:tc>
          <w:tcPr>
            <w:tcW w:w="226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1000元</w:t>
            </w:r>
          </w:p>
        </w:tc>
      </w:tr>
      <w:tr>
        <w:tblPrEx>
          <w:tblLayout w:type="fixed"/>
          <w:tblCellMar>
            <w:top w:w="0" w:type="dxa"/>
            <w:left w:w="0" w:type="dxa"/>
            <w:bottom w:w="0" w:type="dxa"/>
            <w:right w:w="0" w:type="dxa"/>
          </w:tblCellMar>
        </w:tblPrEx>
        <w:trPr>
          <w:trHeight w:val="780" w:hRule="atLeast"/>
          <w:tblCellSpacing w:w="0" w:type="dxa"/>
        </w:trPr>
        <w:tc>
          <w:tcPr>
            <w:tcW w:w="208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报销比例</w:t>
            </w:r>
          </w:p>
        </w:tc>
        <w:tc>
          <w:tcPr>
            <w:tcW w:w="102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90%</w:t>
            </w:r>
          </w:p>
        </w:tc>
        <w:tc>
          <w:tcPr>
            <w:tcW w:w="140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75%</w:t>
            </w:r>
          </w:p>
        </w:tc>
        <w:tc>
          <w:tcPr>
            <w:tcW w:w="156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60%</w:t>
            </w:r>
          </w:p>
        </w:tc>
        <w:tc>
          <w:tcPr>
            <w:tcW w:w="226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55%</w:t>
            </w:r>
          </w:p>
        </w:tc>
      </w:tr>
      <w:tr>
        <w:tblPrEx>
          <w:tblLayout w:type="fixed"/>
          <w:tblCellMar>
            <w:top w:w="0" w:type="dxa"/>
            <w:left w:w="0" w:type="dxa"/>
            <w:bottom w:w="0" w:type="dxa"/>
            <w:right w:w="0" w:type="dxa"/>
          </w:tblCellMar>
        </w:tblPrEx>
        <w:trPr>
          <w:trHeight w:val="900" w:hRule="atLeast"/>
          <w:tblCellSpacing w:w="0" w:type="dxa"/>
        </w:trPr>
        <w:tc>
          <w:tcPr>
            <w:tcW w:w="208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最高支付限额</w:t>
            </w:r>
          </w:p>
        </w:tc>
        <w:tc>
          <w:tcPr>
            <w:tcW w:w="6240" w:type="dxa"/>
            <w:gridSpan w:val="4"/>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40000元</w:t>
            </w:r>
          </w:p>
        </w:tc>
      </w:tr>
    </w:tbl>
    <w:p>
      <w:pPr>
        <w:ind w:firstLine="450" w:firstLineChars="15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住院医用材料报销</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1、单项（套）费用单价≤1000元的，按住院比例报销；</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2、单项（套）费用单价1000-10000元（含10000元）的，个人先自费30%，剩余部分统筹基金再按50%支付；（35%）</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3、单项（套）费用单价10000-50000元（含50000元）的，个人先自费40%，剩余部分统筹基金再按50%支付；（30%）</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4、单项（套）费用单价＞50000元的，个人 先自费50%，剩余部分统筹基金再按50%支付;（25%）</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重大疾病范围和待遇</w:t>
      </w:r>
    </w:p>
    <w:p>
      <w:pPr>
        <w:rPr>
          <w:rFonts w:hint="eastAsia" w:ascii="仿宋" w:hAnsi="仿宋" w:eastAsia="仿宋" w:cs="仿宋"/>
          <w:sz w:val="30"/>
          <w:szCs w:val="30"/>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重大疾病保障病种范围:儿童白血病、儿童先心病、宫颈癌、乳腺癌、耐多药肺结核、艾滋病机会性感染、儿童尿道下裂、肺癌、食道癌、胃癌、结肠癌、直肠癌、慢性粒细胞性白血病、急性心肌梗塞、脑梗塞、脑出血、血友病、I型糖尿病、甲亢、唇腭裂、尿毒症（终末期肾病）、重性精神病、耐多药肺结核、再生障碍性贫血、肝癌、系统性红斑狼疮、胰腺癌等疾病参保人员在</w:t>
      </w:r>
      <w:r>
        <w:rPr>
          <w:rFonts w:hint="eastAsia" w:ascii="仿宋" w:hAnsi="仿宋" w:eastAsia="仿宋" w:cs="仿宋"/>
          <w:sz w:val="30"/>
          <w:szCs w:val="30"/>
          <w:lang w:val="en-US" w:eastAsia="zh-CN"/>
        </w:rPr>
        <w:t>二级及以上定点医疗机构第一诊断符合重大疾病的医疗费用，不设起付标准，符合治疗方式发生的医疗费用按70%报销，尿毒症和重性精神病报90%，纳入年度医疗保险最高支付限额累计。</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二、参保人员住院生育的医疗费用报销</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参保人员发生住院分娩的医疗费用，统筹区内县乡两级定点医院实行包干结算：县级顺产1500元，剖宫产2400元；乡级顺产1500元，剖宫产1800元。市级及其他医院实行最高支付限额：顺产 1500元，剖宫产2400元。其他与生育相关的医疗费用按基本医疗保险政策支付，其中：诊断为保胎、不孕不育的不予支付。</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948A2"/>
    <w:rsid w:val="0BDC1ABD"/>
    <w:rsid w:val="16372780"/>
    <w:rsid w:val="17C55B0E"/>
    <w:rsid w:val="25690357"/>
    <w:rsid w:val="258948A2"/>
    <w:rsid w:val="2CEB12EB"/>
    <w:rsid w:val="2E4C5458"/>
    <w:rsid w:val="4F97369D"/>
    <w:rsid w:val="506654CE"/>
    <w:rsid w:val="5E5231D0"/>
    <w:rsid w:val="664C50FA"/>
    <w:rsid w:val="7592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2019-08-14T03:17:00Z</dcterms:created>
  <dc:creator>2fyibao</dc:creator>
  <cp:lastModifiedBy>杨晓</cp:lastModifiedBy>
  <dcterms:modified xsi:type="dcterms:W3CDTF">2020-10-16T02:19:39Z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