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21</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关于漠沙镇下腊东河道采砂石场项目环境影响报告书的批复</w:t>
      </w:r>
    </w:p>
    <w:p>
      <w:pPr>
        <w:spacing w:line="560" w:lineRule="exact"/>
        <w:rPr>
          <w:rFonts w:ascii="方正小标宋简体" w:eastAsia="方正小标宋简体"/>
          <w:b/>
          <w:bCs/>
          <w:kern w:val="0"/>
          <w:sz w:val="44"/>
          <w:szCs w:val="44"/>
        </w:rPr>
      </w:pPr>
    </w:p>
    <w:p>
      <w:pPr>
        <w:snapToGrid w:val="0"/>
        <w:spacing w:line="560" w:lineRule="exact"/>
        <w:rPr>
          <w:rFonts w:ascii="方正仿宋_GBK" w:hAnsi="方正仿宋_GBK" w:eastAsia="方正仿宋_GBK" w:cs="方正仿宋_GBK"/>
          <w:bCs/>
          <w:kern w:val="0"/>
          <w:sz w:val="32"/>
          <w:szCs w:val="32"/>
        </w:rPr>
      </w:pPr>
      <w:r>
        <w:rPr>
          <w:rFonts w:hint="eastAsia" w:ascii="方正仿宋_GBK" w:eastAsia="方正仿宋_GBK"/>
          <w:bCs/>
          <w:sz w:val="32"/>
          <w:szCs w:val="32"/>
        </w:rPr>
        <w:t>新平县昌芪公路建设有限责任公司</w:t>
      </w:r>
      <w:r>
        <w:rPr>
          <w:rFonts w:hint="eastAsia" w:ascii="方正仿宋_GBK" w:hAnsi="方正仿宋_GBK" w:eastAsia="方正仿宋_GBK" w:cs="方正仿宋_GBK"/>
          <w:bCs/>
          <w:kern w:val="0"/>
          <w:sz w:val="32"/>
          <w:szCs w:val="32"/>
        </w:rPr>
        <w:t>:</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委托云南涔霖环保科技有限公司编制的《漠沙镇下腊东河道采砂石场项目环境影响报告书》（下简称《报告书》）及项目报批申请等收悉，经我局建设项目环境影响评价审查委员会审查，意见如下：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漠沙镇下腊东河道采砂石场项目按《报告书》中所述的内容、性质、规模、地点和环境保护对策措施进行项目建设。报批的《报告书》经批复后可作为该项目设计、建设、竣工环境保护验收及日常运行管理的依据。</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漠沙镇下腊东河道采砂石场项目位于新平漠沙镇下腊东小组河段。开采项目于2019年2月26日取得新平县水利局河道采砂许可证（新水许字〔2018〕第01号），采砂期限：2018年8月15日至2021年8月14日。地理坐标：东经101°41′44.379″、北纬23°54′31.269″，开采方式：机械开采。开采量：15万立方/年。加工项目于2020年3月6日取得新平县发展和改革局备案（新发改投资备案〔2020〕6号），建设性质为新建。建设规模及内容：项目占地面积约20亩，建筑面积约</w:t>
      </w:r>
      <w:r>
        <w:rPr>
          <w:rFonts w:hint="eastAsia" w:ascii="方正仿宋_GBK" w:hAnsi="方正仿宋_GBK" w:eastAsia="方正仿宋_GBK" w:cs="方正仿宋_GBK"/>
          <w:bCs/>
          <w:kern w:val="0"/>
          <w:sz w:val="32"/>
          <w:szCs w:val="32"/>
          <w:lang w:val="en-US" w:eastAsia="zh-CN"/>
        </w:rPr>
        <w:t>1</w:t>
      </w:r>
      <w:r>
        <w:rPr>
          <w:rFonts w:hint="eastAsia" w:ascii="方正仿宋_GBK" w:hAnsi="方正仿宋_GBK" w:eastAsia="方正仿宋_GBK" w:cs="方正仿宋_GBK"/>
          <w:bCs/>
          <w:kern w:val="0"/>
          <w:sz w:val="32"/>
          <w:szCs w:val="32"/>
        </w:rPr>
        <w:t>000㎡，建设年产12万吨砂石生产线</w:t>
      </w:r>
      <w:r>
        <w:rPr>
          <w:rFonts w:hint="eastAsia" w:ascii="方正仿宋_GBK" w:hAnsi="方正仿宋_GBK" w:eastAsia="方正仿宋_GBK" w:cs="方正仿宋_GBK"/>
          <w:bCs/>
          <w:kern w:val="0"/>
          <w:sz w:val="32"/>
          <w:szCs w:val="32"/>
          <w:lang w:val="en-US" w:eastAsia="zh-CN"/>
        </w:rPr>
        <w:t>一</w:t>
      </w:r>
      <w:r>
        <w:rPr>
          <w:rFonts w:hint="eastAsia" w:ascii="方正仿宋_GBK" w:hAnsi="方正仿宋_GBK" w:eastAsia="方正仿宋_GBK" w:cs="方正仿宋_GBK"/>
          <w:sz w:val="32"/>
          <w:szCs w:val="32"/>
        </w:rPr>
        <w:t>套</w:t>
      </w:r>
      <w:r>
        <w:rPr>
          <w:rFonts w:hint="eastAsia" w:ascii="方正仿宋_GBK" w:hAnsi="方正仿宋_GBK" w:eastAsia="方正仿宋_GBK" w:cs="方正仿宋_GBK"/>
          <w:bCs/>
          <w:kern w:val="0"/>
          <w:sz w:val="32"/>
          <w:szCs w:val="32"/>
        </w:rPr>
        <w:t>、管理用房、加工设备、机房、堆放场地、清水池、过滤池、水电等配套设施。项目总投资1200万元，其中环保投资为79.69万元，环保投资占项目总投资的6.64%。</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pStyle w:val="8"/>
        <w:shd w:val="clear" w:color="auto" w:fill="FFFFFF"/>
        <w:spacing w:before="0" w:beforeAutospacing="0" w:after="0" w:afterAutospacing="0" w:line="540" w:lineRule="exact"/>
        <w:ind w:firstLine="64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加强施工期环境管理和水土保持工作。做好施工期扬尘污染防治工作，运输车辆要遮盖，严禁跑冒滴漏，装卸时严禁凌空抛撒，禁止在道路和街道上堆放、转运产生扬尘污染的建筑材料，施工区及施工道路要勤洒水；加强对施工车辆的检修和维护，严禁使用超期服役和尾气超标排放的车辆，合理规划施工车流量，减轻废气对环境的影响；施工期废水经处理后先回用；建筑垃圾、渣土按镇规保中心的要求处置；生活垃圾要定点收集，集中清运到垃圾收集点处置；文明施工，选用先进低噪声设备、合理布置施工场地、合理安排高噪声设备作业时间、实行封闭、半封闭施工等措施减小施工噪声对周围环境的影响；施工过程应合理安排施工计划、施工程序，协调各施工步骤，并争取土料随挖随运，减少堆土裸土的暴露时间，以避免受降雨的直接冲刷，避开雨天作业，设置临时截、排水沟、沉砂池，并在雨季时对裸露坡面覆盖彩条布进行防护，减少水土流失的发生，并及时恢复植被。</w:t>
      </w:r>
    </w:p>
    <w:p>
      <w:pPr>
        <w:pStyle w:val="8"/>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严格落实大气污染防治措施。砂料堆场设置棚库，设置1台雾炮机适时喷雾抑尘；砂石料破碎采用洒水湿式作业及减小出口落料点高度等措施抑尘；砂石装车通过在原料场和产品堆场设置1台雾炮机，以雾化形式降尘；运输道路通过铺设碎石路面，设置洒水车及时洒水、加强道路维护，对运输车辆进行遮盖等措施降尘</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确保厂界无组织排放的颗粒物浓度达到《大气污染物综合排放标准》（GB16297-1996）表2中标准，项目所在地的大气环境及关心点可达到《环境空气质量标准》（GB3095-2012）中的二级标准。</w:t>
      </w:r>
      <w:r>
        <w:rPr>
          <w:rFonts w:hint="eastAsia" w:ascii="方正仿宋_GBK" w:hAnsi="方正仿宋_GBK" w:eastAsia="方正仿宋_GBK" w:cs="方正仿宋_GBK"/>
          <w:bCs/>
          <w:sz w:val="32"/>
          <w:szCs w:val="32"/>
          <w:lang w:val="en-US" w:eastAsia="zh-CN"/>
        </w:rPr>
        <w:t>食堂应使用清洁能源，</w:t>
      </w:r>
      <w:r>
        <w:rPr>
          <w:rFonts w:hint="eastAsia" w:ascii="方正仿宋_GBK" w:hAnsi="方正仿宋_GBK" w:eastAsia="方正仿宋_GBK" w:cs="方正仿宋_GBK"/>
          <w:bCs/>
          <w:sz w:val="32"/>
          <w:szCs w:val="32"/>
        </w:rPr>
        <w:t>食堂油烟经油烟净化器处理后通过烟囱外排，排放浓度满足《饮食业油烟排放标准》（试行）（GB18483-20001）中的表2相关标准。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（四）严格落实水污染防治措施。项目原料堆场和产品堆场设置截排水沟及沉淀池，初期雨水经截排水沟收集进入1个容积为20m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的沉淀池收集沉淀后用于场地洒水降尘。洗砂废水经三级洗砂水沉淀池（753m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）沉淀处理后自流到清水池（3000m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），用泵抽至洗砂机循环使用，不外排。洗砂渗淋水经过收集排入沉淀池处理后用于洗砂</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生活污水经隔油池和化粪池处理后用于周边农地施肥，不外排。</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w:t>
      </w:r>
      <w:r>
        <w:rPr>
          <w:rFonts w:ascii="方正仿宋_GBK" w:hAnsi="方正仿宋_GBK" w:eastAsia="方正仿宋_GBK" w:cs="方正仿宋_GBK"/>
          <w:bCs/>
          <w:kern w:val="0"/>
          <w:sz w:val="32"/>
          <w:szCs w:val="32"/>
        </w:rPr>
        <w:t>沉淀</w:t>
      </w:r>
      <w:r>
        <w:rPr>
          <w:rFonts w:hint="eastAsia" w:ascii="方正仿宋_GBK" w:hAnsi="方正仿宋_GBK" w:eastAsia="方正仿宋_GBK" w:cs="方正仿宋_GBK"/>
          <w:bCs/>
          <w:kern w:val="0"/>
          <w:sz w:val="32"/>
          <w:szCs w:val="32"/>
        </w:rPr>
        <w:t>泥沙</w:t>
      </w:r>
      <w:r>
        <w:rPr>
          <w:rFonts w:ascii="方正仿宋_GBK" w:hAnsi="方正仿宋_GBK" w:eastAsia="方正仿宋_GBK" w:cs="方正仿宋_GBK"/>
          <w:bCs/>
          <w:kern w:val="0"/>
          <w:sz w:val="32"/>
          <w:szCs w:val="32"/>
        </w:rPr>
        <w:t>定期</w:t>
      </w:r>
      <w:r>
        <w:rPr>
          <w:rFonts w:hint="eastAsia" w:ascii="方正仿宋_GBK" w:hAnsi="方正仿宋_GBK" w:eastAsia="方正仿宋_GBK" w:cs="方正仿宋_GBK"/>
          <w:bCs/>
          <w:kern w:val="0"/>
          <w:sz w:val="32"/>
          <w:szCs w:val="32"/>
        </w:rPr>
        <w:t>清掏</w:t>
      </w:r>
      <w:r>
        <w:rPr>
          <w:rFonts w:hint="eastAsia" w:ascii="方正仿宋_GBK" w:hAnsi="方正仿宋_GBK" w:eastAsia="方正仿宋_GBK" w:cs="方正仿宋_GBK"/>
          <w:bCs/>
          <w:kern w:val="0"/>
          <w:sz w:val="32"/>
          <w:szCs w:val="32"/>
          <w:lang w:val="en-US" w:eastAsia="zh-CN"/>
        </w:rPr>
        <w:t>后用于周边农地覆土</w:t>
      </w:r>
      <w:r>
        <w:rPr>
          <w:rFonts w:hint="eastAsia" w:ascii="方正仿宋_GBK" w:hAnsi="方正仿宋_GBK" w:eastAsia="方正仿宋_GBK" w:cs="方正仿宋_GBK"/>
          <w:bCs/>
          <w:kern w:val="0"/>
          <w:sz w:val="32"/>
          <w:szCs w:val="32"/>
        </w:rPr>
        <w:t>；生活垃圾统一收集后，并入当地村镇生活垃圾收集系统处置；</w:t>
      </w:r>
      <w:r>
        <w:rPr>
          <w:rFonts w:ascii="方正仿宋_GBK" w:hAnsi="方正仿宋_GBK" w:eastAsia="方正仿宋_GBK" w:cs="方正仿宋_GBK"/>
          <w:bCs/>
          <w:kern w:val="0"/>
          <w:sz w:val="32"/>
          <w:szCs w:val="32"/>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项目用地范围内实施绿化，增加植被覆盖率。项目区加工场地外围设置排水沟，将场地外的雨水截流，减少雨水对场地内物料的冲刷；设置雨水收集池，对初期雨水进行收集沉淀后用于项目区</w:t>
      </w:r>
      <w:r>
        <w:rPr>
          <w:rFonts w:hint="eastAsia" w:ascii="方正仿宋_GBK" w:hAnsi="方正仿宋_GBK" w:eastAsia="方正仿宋_GBK" w:cs="方正仿宋_GBK"/>
          <w:bCs/>
          <w:kern w:val="0"/>
          <w:sz w:val="32"/>
          <w:szCs w:val="32"/>
          <w:lang w:val="en-US" w:eastAsia="zh-CN"/>
        </w:rPr>
        <w:t>洒</w:t>
      </w:r>
      <w:r>
        <w:rPr>
          <w:rFonts w:hint="eastAsia" w:ascii="方正仿宋_GBK" w:hAnsi="方正仿宋_GBK" w:eastAsia="方正仿宋_GBK" w:cs="方正仿宋_GBK"/>
          <w:bCs/>
          <w:kern w:val="0"/>
          <w:sz w:val="32"/>
          <w:szCs w:val="32"/>
        </w:rPr>
        <w:t>水降尘；项目服务期满后，本项目将无条件关闭拆除，并对临时占用的河滩地进行机械平整和覆土绿化，恢复滩地原貌；在拆除过程中做好防尘和噪声污染管控工作。</w:t>
      </w:r>
    </w:p>
    <w:p>
      <w:pPr>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（八）切实做好油罐防渗设施，防止油罐泄漏对地下水造成污染。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（九）严格落实《报告书》提出的各项环境风险防治措施，严防突发环境事故发生。在水利部门划定的河道管理范围内，所有建设项目严格执行主管部门河道行洪安全要求。</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单位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bCs/>
          <w:kern w:val="0"/>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rPr>
          <w:rFonts w:hint="eastAsia"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pPr>
        <w:spacing w:line="56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049" o:spid="_x0000_s3073" o:spt="202" type="#_x0000_t202" style="position:absolute;left:0pt;margin-top:0pt;height:20.45pt;width:65.35pt;mso-position-horizontal:outside;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4A91"/>
    <w:rsid w:val="00484E1C"/>
    <w:rsid w:val="004856B1"/>
    <w:rsid w:val="004863D3"/>
    <w:rsid w:val="004920AA"/>
    <w:rsid w:val="004922D8"/>
    <w:rsid w:val="00496634"/>
    <w:rsid w:val="004A24CB"/>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E6137"/>
    <w:rsid w:val="007F5A78"/>
    <w:rsid w:val="007F67D6"/>
    <w:rsid w:val="007F685F"/>
    <w:rsid w:val="007F7BDE"/>
    <w:rsid w:val="008060CB"/>
    <w:rsid w:val="00806DA9"/>
    <w:rsid w:val="0080791B"/>
    <w:rsid w:val="0081065B"/>
    <w:rsid w:val="008117ED"/>
    <w:rsid w:val="00814423"/>
    <w:rsid w:val="0081575D"/>
    <w:rsid w:val="0081730A"/>
    <w:rsid w:val="00820D85"/>
    <w:rsid w:val="00831ADB"/>
    <w:rsid w:val="00836DC7"/>
    <w:rsid w:val="00847194"/>
    <w:rsid w:val="00850D4B"/>
    <w:rsid w:val="00851276"/>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90955"/>
    <w:rsid w:val="00892FDB"/>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0873"/>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47A"/>
    <w:rsid w:val="00CA661C"/>
    <w:rsid w:val="00CB652F"/>
    <w:rsid w:val="00CB65AF"/>
    <w:rsid w:val="00CB6D97"/>
    <w:rsid w:val="00CB70F5"/>
    <w:rsid w:val="00CB7D35"/>
    <w:rsid w:val="00CC0015"/>
    <w:rsid w:val="00CC10F2"/>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ABE46E6"/>
    <w:rsid w:val="0B8C4831"/>
    <w:rsid w:val="0F5D683F"/>
    <w:rsid w:val="13053B5F"/>
    <w:rsid w:val="15363789"/>
    <w:rsid w:val="1C5E4196"/>
    <w:rsid w:val="1EAA1814"/>
    <w:rsid w:val="20510A56"/>
    <w:rsid w:val="20A47F9A"/>
    <w:rsid w:val="20E44A3D"/>
    <w:rsid w:val="20EA1A3A"/>
    <w:rsid w:val="252E7AB0"/>
    <w:rsid w:val="25C63A99"/>
    <w:rsid w:val="25E44444"/>
    <w:rsid w:val="284523C1"/>
    <w:rsid w:val="2AD26CCF"/>
    <w:rsid w:val="2B77480B"/>
    <w:rsid w:val="30A00ED5"/>
    <w:rsid w:val="31D313B5"/>
    <w:rsid w:val="32972F21"/>
    <w:rsid w:val="335F7DCE"/>
    <w:rsid w:val="34757BA6"/>
    <w:rsid w:val="35423545"/>
    <w:rsid w:val="388B3362"/>
    <w:rsid w:val="3A2B21E3"/>
    <w:rsid w:val="3B010812"/>
    <w:rsid w:val="45B51D60"/>
    <w:rsid w:val="47B814BA"/>
    <w:rsid w:val="4CE76C4F"/>
    <w:rsid w:val="529A2404"/>
    <w:rsid w:val="52B246D2"/>
    <w:rsid w:val="559C3E9D"/>
    <w:rsid w:val="562D0D67"/>
    <w:rsid w:val="61FF2BC5"/>
    <w:rsid w:val="64046B45"/>
    <w:rsid w:val="665E5BA5"/>
    <w:rsid w:val="669E0512"/>
    <w:rsid w:val="683625A6"/>
    <w:rsid w:val="6CE82B24"/>
    <w:rsid w:val="71A35003"/>
    <w:rsid w:val="76F97D89"/>
    <w:rsid w:val="7B8032EB"/>
    <w:rsid w:val="7E01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0" w:lineRule="atLeast"/>
      <w:ind w:firstLine="527" w:firstLineChars="200"/>
    </w:pPr>
    <w:rPr>
      <w:rFonts w:ascii="仿宋_GB2312" w:eastAsia="仿宋_GB2312"/>
      <w:sz w:val="28"/>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link w:val="2"/>
    <w:qFormat/>
    <w:uiPriority w:val="9"/>
    <w:rPr>
      <w:rFonts w:ascii="宋体" w:hAnsi="宋体" w:cs="宋体"/>
      <w:b/>
      <w:bCs/>
      <w:kern w:val="36"/>
      <w:sz w:val="48"/>
      <w:szCs w:val="48"/>
    </w:rPr>
  </w:style>
  <w:style w:type="paragraph" w:customStyle="1" w:styleId="13">
    <w:name w:val="Char Char Char Char Char Char1 Char"/>
    <w:basedOn w:val="1"/>
    <w:qFormat/>
    <w:uiPriority w:val="0"/>
    <w:pPr>
      <w:widowControl/>
      <w:spacing w:after="160" w:line="240" w:lineRule="exact"/>
      <w:jc w:val="left"/>
    </w:pPr>
  </w:style>
  <w:style w:type="paragraph" w:customStyle="1" w:styleId="14">
    <w:name w:val="样式 标题 1 + 四号 段前: 0 磅 段后: 0 磅 行距: 1.5 倍行距"/>
    <w:basedOn w:val="15"/>
    <w:next w:val="16"/>
    <w:qFormat/>
    <w:uiPriority w:val="0"/>
    <w:pPr>
      <w:jc w:val="center"/>
    </w:pPr>
  </w:style>
  <w:style w:type="paragraph" w:customStyle="1" w:styleId="15">
    <w:name w:val="1正文"/>
    <w:basedOn w:val="1"/>
    <w:qFormat/>
    <w:uiPriority w:val="0"/>
    <w:pPr>
      <w:spacing w:line="500" w:lineRule="exact"/>
      <w:ind w:firstLine="588" w:firstLineChars="196"/>
    </w:pPr>
    <w:rPr>
      <w:rFonts w:eastAsia="楷体_GB2312"/>
      <w:sz w:val="30"/>
      <w:szCs w:val="30"/>
    </w:rPr>
  </w:style>
  <w:style w:type="paragraph" w:customStyle="1" w:styleId="16">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6</Pages>
  <Words>470</Words>
  <Characters>2679</Characters>
  <Lines>22</Lines>
  <Paragraphs>6</Paragraphs>
  <TotalTime>11</TotalTime>
  <ScaleCrop>false</ScaleCrop>
  <LinksUpToDate>false</LinksUpToDate>
  <CharactersWithSpaces>3143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2020-06-08T01:04:00Z</cp:lastPrinted>
  <dcterms:modified xsi:type="dcterms:W3CDTF">2020-12-07T10:00:50Z</dcterms:modified>
  <dc:title>审批意见：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