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25</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4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关于云南玉溪仙福钢铁（集团）有限公司产能置换技术升级改造项目配套2套KDONAr－20000/20000/680型空分装置工程</w:t>
      </w:r>
    </w:p>
    <w:p>
      <w:pPr>
        <w:spacing w:line="540" w:lineRule="exact"/>
        <w:jc w:val="center"/>
        <w:rPr>
          <w:rFonts w:ascii="方正小标宋_GBK" w:eastAsia="方正小标宋_GBK"/>
          <w:kern w:val="0"/>
          <w:sz w:val="44"/>
          <w:szCs w:val="44"/>
        </w:rPr>
      </w:pPr>
      <w:r>
        <w:rPr>
          <w:rFonts w:hint="eastAsia" w:ascii="方正小标宋_GBK" w:eastAsia="方正小标宋_GBK"/>
          <w:kern w:val="0"/>
          <w:sz w:val="44"/>
          <w:szCs w:val="44"/>
        </w:rPr>
        <w:t>环境影响报告表的批复</w:t>
      </w:r>
    </w:p>
    <w:p>
      <w:pPr>
        <w:spacing w:line="540" w:lineRule="exact"/>
        <w:jc w:val="center"/>
        <w:rPr>
          <w:rFonts w:ascii="方正小标宋简体" w:eastAsia="方正小标宋简体"/>
          <w:b/>
          <w:bCs/>
          <w:kern w:val="0"/>
          <w:sz w:val="44"/>
          <w:szCs w:val="44"/>
        </w:rPr>
      </w:pPr>
    </w:p>
    <w:p>
      <w:pPr>
        <w:snapToGrid w:val="0"/>
        <w:spacing w:line="54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云南玉溪仙福钢铁（集团）有限公司:</w:t>
      </w:r>
    </w:p>
    <w:p>
      <w:pPr>
        <w:spacing w:line="54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val="en-US" w:eastAsia="zh-CN"/>
        </w:rPr>
        <w:t>公司</w:t>
      </w:r>
      <w:r>
        <w:rPr>
          <w:rFonts w:hint="eastAsia" w:ascii="方正仿宋_GBK" w:hAnsi="方正仿宋_GBK" w:eastAsia="方正仿宋_GBK" w:cs="方正仿宋_GBK"/>
          <w:bCs/>
          <w:kern w:val="0"/>
          <w:sz w:val="32"/>
          <w:szCs w:val="32"/>
        </w:rPr>
        <w:t>委托云南寄傲环境科技有限公司编制的《云南玉溪仙福钢铁（集团）有限公司产能置换技术升级改造项目配套2套KDONAr－20000/20000/680型空分装置工程环境影响报告表》（以下简称《报告表》）及项目报批申请等收悉，经我局建设项目环境影响评价审查委员会审查，意见如下：</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表》结论、技术评审意见，原则同意云南玉溪仙福钢铁（集团）有限公司（以下简称：仙福公司）产能置换技术升级改造项目配套2套KDONAr－20000/20000/680型空分装置工程按《报告表》中所述的内容、性质、规模、地点和环境保护对策措施进行项目建设。报批的《报告表》经批复后可作为该项目设计、建设、竣工环境保护验收及日常运行管理的依据。</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仙福公司产能置换技术升级改造项目配套2套KDONAr－20000/20000/680型空分装置工程位于新平矿业循环经济工业园区扬武片区大开门仙福公司厂区内。项目于2020年2月21日取得新平县工业科技和信息化局投资项目备案证（新工信备案〔2020〕1号），建设性质为改建。项目占地面积42439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，总建筑面积16351m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建设规模及内容：建设2套KDONAr－20000/20000/680型空分装置，配套建设主厂房、分馏塔、缓冲罐、变压器室、配电室、控制室、循环水泵等其它生产设施，以及除室外供电线路处的与本空分站项目相关的厂区室外管网</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项目总投资28630万元，其中</w:t>
      </w:r>
      <w:r>
        <w:rPr>
          <w:rFonts w:ascii="方正仿宋_GBK" w:hAnsi="方正仿宋_GBK" w:eastAsia="方正仿宋_GBK" w:cs="方正仿宋_GBK"/>
          <w:bCs/>
          <w:kern w:val="0"/>
          <w:sz w:val="32"/>
          <w:szCs w:val="32"/>
        </w:rPr>
        <w:t>环保投资为</w:t>
      </w:r>
      <w:r>
        <w:rPr>
          <w:rFonts w:hint="eastAsia" w:ascii="方正仿宋_GBK" w:hAnsi="方正仿宋_GBK" w:eastAsia="方正仿宋_GBK" w:cs="方正仿宋_GBK"/>
          <w:bCs/>
          <w:kern w:val="0"/>
          <w:sz w:val="32"/>
          <w:szCs w:val="32"/>
        </w:rPr>
        <w:t>996.6</w:t>
      </w:r>
      <w:r>
        <w:rPr>
          <w:rFonts w:ascii="方正仿宋_GBK" w:hAnsi="方正仿宋_GBK" w:eastAsia="方正仿宋_GBK" w:cs="方正仿宋_GBK"/>
          <w:bCs/>
          <w:kern w:val="0"/>
          <w:sz w:val="32"/>
          <w:szCs w:val="32"/>
        </w:rPr>
        <w:t>万元，环保投资占项目总投资的</w:t>
      </w:r>
      <w:r>
        <w:rPr>
          <w:rFonts w:hint="eastAsia" w:ascii="方正仿宋_GBK" w:hAnsi="方正仿宋_GBK" w:eastAsia="方正仿宋_GBK" w:cs="方正仿宋_GBK"/>
          <w:bCs/>
          <w:kern w:val="0"/>
          <w:sz w:val="32"/>
          <w:szCs w:val="32"/>
        </w:rPr>
        <w:t>3.5</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三、要求你公司在项目建设和运营过程中必须严格按照《报告表》的要求做好环境保护工作，全面落实环保对策措施：</w:t>
      </w:r>
    </w:p>
    <w:p>
      <w:pPr>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（一）项目必须严格落实《报告表》中的各项环境保护设施及污染防治对策措施，项目建设和运行不得降低区域环境功能，环境质量标准和排放标准按《报告表》中所列的标准执行。</w:t>
      </w:r>
    </w:p>
    <w:p>
      <w:pPr>
        <w:pStyle w:val="8"/>
        <w:shd w:val="clear" w:color="auto" w:fill="FFFFFF"/>
        <w:spacing w:before="0" w:beforeAutospacing="0" w:after="0" w:afterAutospacing="0" w:line="540" w:lineRule="exact"/>
        <w:ind w:firstLine="640" w:firstLineChars="200"/>
        <w:jc w:val="both"/>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（二）建设单位</w:t>
      </w:r>
      <w:r>
        <w:rPr>
          <w:rFonts w:hint="eastAsia" w:ascii="方正仿宋_GBK" w:eastAsia="方正仿宋_GBK"/>
          <w:bCs/>
          <w:sz w:val="32"/>
          <w:szCs w:val="32"/>
        </w:rPr>
        <w:t>须严格做好项目施工期间的各项环境保护工作，落实扬尘、废水、固废、噪声等污染防治措施，清洁文明施工，严防施工期对环境保护目标及周围环境造成污染。</w:t>
      </w:r>
    </w:p>
    <w:p>
      <w:pPr>
        <w:pStyle w:val="8"/>
        <w:shd w:val="clear" w:color="auto" w:fill="FFFFFF"/>
        <w:spacing w:before="0" w:beforeAutospacing="0" w:after="0" w:afterAutospacing="0" w:line="54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（三）严格落实大气污染防治措施。“污氮”通过8米高的排气筒放空；化粪池和生活污水处理站均埋于地下，以减轻无组织排放臭气排放量，减少对周围环境的影响。</w:t>
      </w:r>
    </w:p>
    <w:p>
      <w:pPr>
        <w:adjustRightInd w:val="0"/>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w:t>
      </w:r>
      <w:r>
        <w:rPr>
          <w:rFonts w:hint="eastAsia" w:ascii="方正仿宋_GBK" w:hAnsi="宋体" w:eastAsia="方正仿宋_GBK"/>
          <w:bCs/>
          <w:kern w:val="0"/>
          <w:sz w:val="32"/>
          <w:szCs w:val="32"/>
        </w:rPr>
        <w:t>严格落实水污染防治措施。冷却水在封闭管道内经冷却塔冷却后循环使用，不外排；循环水池排污水经项目区50 m</w:t>
      </w:r>
      <w:r>
        <w:rPr>
          <w:rFonts w:hint="eastAsia" w:ascii="方正仿宋_GBK" w:hAnsi="宋体" w:eastAsia="方正仿宋_GBK"/>
          <w:bCs/>
          <w:kern w:val="0"/>
          <w:sz w:val="32"/>
          <w:szCs w:val="32"/>
          <w:vertAlign w:val="superscript"/>
        </w:rPr>
        <w:t>3</w:t>
      </w:r>
      <w:r>
        <w:rPr>
          <w:rFonts w:hint="eastAsia" w:ascii="方正仿宋_GBK" w:hAnsi="宋体" w:eastAsia="方正仿宋_GBK"/>
          <w:bCs/>
          <w:kern w:val="0"/>
          <w:sz w:val="32"/>
          <w:szCs w:val="32"/>
        </w:rPr>
        <w:t>的沉淀池沉淀后经排水管网，排入仙福公司高炉工段冲渣水池后回用于高炉冲渣，不外排；</w:t>
      </w:r>
      <w:r>
        <w:rPr>
          <w:rFonts w:hint="eastAsia" w:ascii="方正仿宋_GBK" w:hAnsi="方正仿宋_GBK" w:eastAsia="方正仿宋_GBK" w:cs="方正仿宋_GBK"/>
          <w:bCs/>
          <w:kern w:val="0"/>
          <w:sz w:val="32"/>
          <w:szCs w:val="32"/>
        </w:rPr>
        <w:t>生活污水经化粪池</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自建的</w:t>
      </w:r>
      <w:r>
        <w:rPr>
          <w:rFonts w:hint="eastAsia" w:ascii="方正仿宋_GBK" w:hAnsi="方正仿宋_GBK" w:eastAsia="方正仿宋_GBK" w:cs="方正仿宋_GBK"/>
          <w:bCs/>
          <w:kern w:val="0"/>
          <w:sz w:val="32"/>
          <w:szCs w:val="32"/>
        </w:rPr>
        <w:t>生活污水处理站处理达</w:t>
      </w:r>
      <w:r>
        <w:rPr>
          <w:rFonts w:hint="eastAsia" w:ascii="方正仿宋_GBK" w:hAnsi="方正仿宋_GBK" w:eastAsia="方正仿宋_GBK" w:cs="方正仿宋_GBK"/>
          <w:bCs/>
          <w:kern w:val="0"/>
          <w:sz w:val="32"/>
          <w:szCs w:val="32"/>
          <w:lang w:val="en-US" w:eastAsia="zh-CN"/>
        </w:rPr>
        <w:t>到《城市污水再生利用 城市杂用水水质》（GB/T18920-2002）相应限值后回</w:t>
      </w:r>
      <w:r>
        <w:rPr>
          <w:rFonts w:hint="eastAsia" w:ascii="方正仿宋_GBK" w:hAnsi="方正仿宋_GBK" w:eastAsia="方正仿宋_GBK" w:cs="方正仿宋_GBK"/>
          <w:bCs/>
          <w:kern w:val="0"/>
          <w:sz w:val="32"/>
          <w:szCs w:val="32"/>
        </w:rPr>
        <w:t>用于项目区绿化，不</w:t>
      </w:r>
      <w:r>
        <w:rPr>
          <w:rFonts w:hint="eastAsia" w:ascii="方正仿宋_GBK" w:hAnsi="方正仿宋_GBK" w:eastAsia="方正仿宋_GBK" w:cs="方正仿宋_GBK"/>
          <w:bCs/>
          <w:kern w:val="0"/>
          <w:sz w:val="32"/>
          <w:szCs w:val="32"/>
          <w:lang w:val="en-US" w:eastAsia="zh-CN"/>
        </w:rPr>
        <w:t>得</w:t>
      </w:r>
      <w:r>
        <w:rPr>
          <w:rFonts w:hint="eastAsia" w:ascii="方正仿宋_GBK" w:hAnsi="方正仿宋_GBK" w:eastAsia="方正仿宋_GBK" w:cs="方正仿宋_GBK"/>
          <w:bCs/>
          <w:kern w:val="0"/>
          <w:sz w:val="32"/>
          <w:szCs w:val="32"/>
        </w:rPr>
        <w:t>外排；初期雨水经排水沟汇集后，全部排入项目2700m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的雨水收集池中回用于项目区绿化。</w:t>
      </w:r>
    </w:p>
    <w:p>
      <w:pPr>
        <w:widowControl/>
        <w:shd w:val="clear" w:color="auto" w:fill="FFFFFF"/>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严格落实噪声污染防治措施。合理进行设备布局，将高噪声设备尽量远离厂界；选用低噪声、低振动、高质量的设备；空压机、氧压机、氮压机等主要噪声产生设备设置在车间内，并对车间进行封闭，利用车间墙体隔声，且压缩机安装隔声罩；各设备管道采用隔音棉包裹，减少噪声排放；各消耗设置在车间地下，利用车间墙体隔声，水泵加柔性接头及减振装置；压缩气体、氧气、氮气、污氮放空口设置消声器进行消声。</w:t>
      </w:r>
    </w:p>
    <w:p>
      <w:pPr>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（六）严格落实固体废物分类处置和综合利用措施。含油废棉纱、过滤器灰尘和</w:t>
      </w:r>
      <w:r>
        <w:rPr>
          <w:rFonts w:ascii="方正仿宋_GBK" w:hAnsi="方正仿宋_GBK" w:eastAsia="方正仿宋_GBK" w:cs="方正仿宋_GBK"/>
          <w:bCs/>
          <w:kern w:val="0"/>
          <w:sz w:val="32"/>
          <w:szCs w:val="32"/>
        </w:rPr>
        <w:t>生活垃圾</w:t>
      </w:r>
      <w:r>
        <w:rPr>
          <w:rFonts w:hint="eastAsia" w:ascii="方正仿宋_GBK" w:hAnsi="方正仿宋_GBK" w:eastAsia="方正仿宋_GBK" w:cs="方正仿宋_GBK"/>
          <w:bCs/>
          <w:kern w:val="0"/>
          <w:sz w:val="32"/>
          <w:szCs w:val="32"/>
        </w:rPr>
        <w:t>统一收集后并入公司生活垃圾，最终进入当地村镇生活垃圾收集系统处置；</w:t>
      </w:r>
      <w:r>
        <w:rPr>
          <w:rFonts w:ascii="方正仿宋_GBK" w:hAnsi="方正仿宋_GBK" w:eastAsia="方正仿宋_GBK" w:cs="方正仿宋_GBK"/>
          <w:bCs/>
          <w:kern w:val="0"/>
          <w:sz w:val="32"/>
          <w:szCs w:val="32"/>
        </w:rPr>
        <w:t>建设符合《危险废物贮存污染控制标准》（GB18597—2001）的危废暂存间，废机油等危险废物严格按照国家危险废物管理的有关规定进行收集、贮存，并及时委托具有相应资质的单位安全处置或综合利用</w:t>
      </w:r>
      <w:r>
        <w:rPr>
          <w:rFonts w:hint="eastAsia" w:ascii="方正仿宋_GBK" w:hAnsi="方正仿宋_GBK" w:eastAsia="方正仿宋_GBK" w:cs="方正仿宋_GBK"/>
          <w:bCs/>
          <w:kern w:val="0"/>
          <w:sz w:val="32"/>
          <w:szCs w:val="32"/>
        </w:rPr>
        <w:t>；珠光砂和废分子筛更换后运至</w:t>
      </w:r>
      <w:r>
        <w:rPr>
          <w:rFonts w:hint="eastAsia" w:ascii="方正仿宋_GBK" w:hAnsi="方正仿宋_GBK" w:eastAsia="方正仿宋_GBK" w:cs="方正仿宋_GBK"/>
          <w:bCs/>
          <w:kern w:val="0"/>
          <w:sz w:val="32"/>
          <w:szCs w:val="32"/>
          <w:lang w:val="en-US" w:eastAsia="zh-CN"/>
        </w:rPr>
        <w:t>扬武镇规划与环保中心</w:t>
      </w:r>
      <w:r>
        <w:rPr>
          <w:rFonts w:hint="eastAsia" w:ascii="方正仿宋_GBK" w:hAnsi="方正仿宋_GBK" w:eastAsia="方正仿宋_GBK" w:cs="方正仿宋_GBK"/>
          <w:bCs/>
          <w:kern w:val="0"/>
          <w:sz w:val="32"/>
          <w:szCs w:val="32"/>
        </w:rPr>
        <w:t>指定地点填埋；化粪池和生活污水处理站污泥定期委托</w:t>
      </w:r>
      <w:r>
        <w:rPr>
          <w:rFonts w:hint="eastAsia" w:ascii="方正仿宋_GBK" w:hAnsi="方正仿宋_GBK" w:eastAsia="方正仿宋_GBK" w:cs="方正仿宋_GBK"/>
          <w:bCs/>
          <w:kern w:val="0"/>
          <w:sz w:val="32"/>
          <w:szCs w:val="32"/>
          <w:lang w:val="en-US" w:eastAsia="zh-CN"/>
        </w:rPr>
        <w:t>当地</w:t>
      </w:r>
      <w:r>
        <w:rPr>
          <w:rFonts w:hint="eastAsia" w:ascii="方正仿宋_GBK" w:hAnsi="方正仿宋_GBK" w:eastAsia="方正仿宋_GBK" w:cs="方正仿宋_GBK"/>
          <w:bCs/>
          <w:kern w:val="0"/>
          <w:sz w:val="32"/>
          <w:szCs w:val="32"/>
        </w:rPr>
        <w:t>环卫部门清掏</w:t>
      </w:r>
      <w:r>
        <w:rPr>
          <w:rFonts w:ascii="方正仿宋_GBK" w:hAnsi="方正仿宋_GBK" w:eastAsia="方正仿宋_GBK" w:cs="方正仿宋_GBK"/>
          <w:bCs/>
          <w:kern w:val="0"/>
          <w:sz w:val="32"/>
          <w:szCs w:val="32"/>
        </w:rPr>
        <w:t>。</w:t>
      </w:r>
    </w:p>
    <w:p>
      <w:pPr>
        <w:adjustRightInd w:val="0"/>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（七）严格落实《报告表》提出的各项环境风险防治措施，严防突发环境事故发生，并制定专项突发环境事件（事故）应急预案报市生态环境局新平分局备案。</w:t>
      </w:r>
    </w:p>
    <w:p>
      <w:pPr>
        <w:adjustRightInd w:val="0"/>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w:t>
      </w:r>
      <w:r>
        <w:rPr>
          <w:rFonts w:hint="eastAsia" w:ascii="方正仿宋_GBK" w:hAnsi="方正仿宋_GBK" w:eastAsia="方正仿宋_GBK" w:cs="方正仿宋_GBK"/>
          <w:bCs/>
          <w:kern w:val="0"/>
          <w:sz w:val="32"/>
          <w:szCs w:val="32"/>
          <w:lang w:val="en-US" w:eastAsia="zh-CN"/>
        </w:rPr>
        <w:t>公司</w:t>
      </w:r>
      <w:r>
        <w:rPr>
          <w:rFonts w:hint="eastAsia" w:ascii="方正仿宋_GBK" w:hAnsi="方正仿宋_GBK" w:eastAsia="方正仿宋_GBK" w:cs="方正仿宋_GBK"/>
          <w:bCs/>
          <w:kern w:val="0"/>
          <w:sz w:val="32"/>
          <w:szCs w:val="32"/>
        </w:rPr>
        <w:t>作为项目的责任单位，必须严格执行工程建设的环境保护“三同时”制度，认真落实各项环保要求，主动向社会公开建设项目环境影响评价文件、污染防治设施建设运行情况、污染物排放情况</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lang w:val="en-US" w:eastAsia="zh-CN"/>
        </w:rPr>
        <w:t>突发环境风险应急预案</w:t>
      </w:r>
      <w:r>
        <w:rPr>
          <w:rFonts w:hint="eastAsia" w:ascii="方正仿宋_GBK" w:hAnsi="方正仿宋_GBK" w:eastAsia="方正仿宋_GBK" w:cs="方正仿宋_GBK"/>
          <w:bCs/>
          <w:kern w:val="0"/>
          <w:sz w:val="32"/>
          <w:szCs w:val="32"/>
        </w:rPr>
        <w:t>等环境信息。</w:t>
      </w:r>
    </w:p>
    <w:p>
      <w:pPr>
        <w:snapToGrid w:val="0"/>
        <w:spacing w:line="5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《建设项目竣工环境保护验收暂行办法》的要求，对配套建设的环境保护设施进行验收，并依法向社会公开验收报告。</w:t>
      </w:r>
    </w:p>
    <w:p>
      <w:pPr>
        <w:snapToGrid w:val="0"/>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40" w:lineRule="exact"/>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4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bookmarkStart w:id="0" w:name="_GoBack"/>
      <w:bookmarkEnd w:id="0"/>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fldChar w:fldCharType="begin"/>
    </w:r>
    <w:r>
      <w:rPr>
        <w:rStyle w:val="11"/>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03E"/>
    <w:rsid w:val="00057B2F"/>
    <w:rsid w:val="00063AA4"/>
    <w:rsid w:val="00063B0F"/>
    <w:rsid w:val="00066E87"/>
    <w:rsid w:val="00075739"/>
    <w:rsid w:val="00076555"/>
    <w:rsid w:val="00081CE2"/>
    <w:rsid w:val="00081D74"/>
    <w:rsid w:val="000825FA"/>
    <w:rsid w:val="00083D93"/>
    <w:rsid w:val="000851AA"/>
    <w:rsid w:val="0009095C"/>
    <w:rsid w:val="00097786"/>
    <w:rsid w:val="000A0449"/>
    <w:rsid w:val="000A0F43"/>
    <w:rsid w:val="000B24E2"/>
    <w:rsid w:val="000B2F7F"/>
    <w:rsid w:val="000B39EB"/>
    <w:rsid w:val="000B4FDA"/>
    <w:rsid w:val="000C09E2"/>
    <w:rsid w:val="000C53D1"/>
    <w:rsid w:val="000C63EA"/>
    <w:rsid w:val="000C6C36"/>
    <w:rsid w:val="000C7370"/>
    <w:rsid w:val="000D0532"/>
    <w:rsid w:val="000D2645"/>
    <w:rsid w:val="000D7F77"/>
    <w:rsid w:val="000E1E3D"/>
    <w:rsid w:val="000E2436"/>
    <w:rsid w:val="000E35C5"/>
    <w:rsid w:val="000E677F"/>
    <w:rsid w:val="000E71EC"/>
    <w:rsid w:val="000F2272"/>
    <w:rsid w:val="000F2791"/>
    <w:rsid w:val="000F2DC8"/>
    <w:rsid w:val="000F3763"/>
    <w:rsid w:val="000F51D1"/>
    <w:rsid w:val="000F6879"/>
    <w:rsid w:val="000F6947"/>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01A7"/>
    <w:rsid w:val="0013181D"/>
    <w:rsid w:val="0013302B"/>
    <w:rsid w:val="001418B3"/>
    <w:rsid w:val="0014226C"/>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1D0F"/>
    <w:rsid w:val="001E2913"/>
    <w:rsid w:val="001E396B"/>
    <w:rsid w:val="001E66B8"/>
    <w:rsid w:val="001E7E85"/>
    <w:rsid w:val="001F08BF"/>
    <w:rsid w:val="001F2BA2"/>
    <w:rsid w:val="002046CA"/>
    <w:rsid w:val="002047C9"/>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4B71"/>
    <w:rsid w:val="00276D3A"/>
    <w:rsid w:val="00277F5E"/>
    <w:rsid w:val="00281E31"/>
    <w:rsid w:val="002836B3"/>
    <w:rsid w:val="00286A39"/>
    <w:rsid w:val="00292A0F"/>
    <w:rsid w:val="00293CE5"/>
    <w:rsid w:val="00295166"/>
    <w:rsid w:val="0029536E"/>
    <w:rsid w:val="002955B6"/>
    <w:rsid w:val="00295C98"/>
    <w:rsid w:val="00297087"/>
    <w:rsid w:val="00297AD6"/>
    <w:rsid w:val="002A020F"/>
    <w:rsid w:val="002A4702"/>
    <w:rsid w:val="002A478D"/>
    <w:rsid w:val="002A5176"/>
    <w:rsid w:val="002A6D71"/>
    <w:rsid w:val="002B144E"/>
    <w:rsid w:val="002B1C2F"/>
    <w:rsid w:val="002B2F76"/>
    <w:rsid w:val="002B5F86"/>
    <w:rsid w:val="002B66DA"/>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333DC"/>
    <w:rsid w:val="00335B19"/>
    <w:rsid w:val="003369C4"/>
    <w:rsid w:val="00336E68"/>
    <w:rsid w:val="00344188"/>
    <w:rsid w:val="00344BF8"/>
    <w:rsid w:val="0034681A"/>
    <w:rsid w:val="003513E7"/>
    <w:rsid w:val="003535AE"/>
    <w:rsid w:val="00354BAE"/>
    <w:rsid w:val="003558BE"/>
    <w:rsid w:val="00355E98"/>
    <w:rsid w:val="003574B1"/>
    <w:rsid w:val="003627C1"/>
    <w:rsid w:val="00362FCB"/>
    <w:rsid w:val="00364399"/>
    <w:rsid w:val="0037246C"/>
    <w:rsid w:val="003745BD"/>
    <w:rsid w:val="00376A83"/>
    <w:rsid w:val="00380BB9"/>
    <w:rsid w:val="00380DDE"/>
    <w:rsid w:val="00380F43"/>
    <w:rsid w:val="00381C17"/>
    <w:rsid w:val="00384BF7"/>
    <w:rsid w:val="00386513"/>
    <w:rsid w:val="00391AB2"/>
    <w:rsid w:val="00394504"/>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6A10"/>
    <w:rsid w:val="003E740F"/>
    <w:rsid w:val="003F18A3"/>
    <w:rsid w:val="003F27E0"/>
    <w:rsid w:val="003F3CD1"/>
    <w:rsid w:val="003F78A0"/>
    <w:rsid w:val="00401124"/>
    <w:rsid w:val="0040171D"/>
    <w:rsid w:val="004034D3"/>
    <w:rsid w:val="004049C4"/>
    <w:rsid w:val="004068F5"/>
    <w:rsid w:val="0040760A"/>
    <w:rsid w:val="00410383"/>
    <w:rsid w:val="00415936"/>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6FA5"/>
    <w:rsid w:val="00447C35"/>
    <w:rsid w:val="00451245"/>
    <w:rsid w:val="004569F0"/>
    <w:rsid w:val="0045737D"/>
    <w:rsid w:val="00461433"/>
    <w:rsid w:val="004626FD"/>
    <w:rsid w:val="00462DF8"/>
    <w:rsid w:val="00464B27"/>
    <w:rsid w:val="0046543D"/>
    <w:rsid w:val="004705A8"/>
    <w:rsid w:val="004708DB"/>
    <w:rsid w:val="004722EF"/>
    <w:rsid w:val="004734A9"/>
    <w:rsid w:val="00480924"/>
    <w:rsid w:val="00484A91"/>
    <w:rsid w:val="00484E1C"/>
    <w:rsid w:val="004856B1"/>
    <w:rsid w:val="004863D3"/>
    <w:rsid w:val="00486669"/>
    <w:rsid w:val="004920AA"/>
    <w:rsid w:val="004922D8"/>
    <w:rsid w:val="00496634"/>
    <w:rsid w:val="004A24CB"/>
    <w:rsid w:val="004A4876"/>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9E5"/>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563A"/>
    <w:rsid w:val="00537E0E"/>
    <w:rsid w:val="00545891"/>
    <w:rsid w:val="005470D0"/>
    <w:rsid w:val="00554E39"/>
    <w:rsid w:val="00556968"/>
    <w:rsid w:val="00557013"/>
    <w:rsid w:val="00566502"/>
    <w:rsid w:val="00570186"/>
    <w:rsid w:val="00570C48"/>
    <w:rsid w:val="00571BB4"/>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0F33"/>
    <w:rsid w:val="005F43E2"/>
    <w:rsid w:val="005F4931"/>
    <w:rsid w:val="0060701A"/>
    <w:rsid w:val="00607C53"/>
    <w:rsid w:val="00610583"/>
    <w:rsid w:val="006146D0"/>
    <w:rsid w:val="00615435"/>
    <w:rsid w:val="00615D2E"/>
    <w:rsid w:val="006211D0"/>
    <w:rsid w:val="00627F16"/>
    <w:rsid w:val="00631E71"/>
    <w:rsid w:val="006322BA"/>
    <w:rsid w:val="00640A5A"/>
    <w:rsid w:val="0064113A"/>
    <w:rsid w:val="00641578"/>
    <w:rsid w:val="0064350B"/>
    <w:rsid w:val="006451F9"/>
    <w:rsid w:val="00647C22"/>
    <w:rsid w:val="00647C23"/>
    <w:rsid w:val="00647DAB"/>
    <w:rsid w:val="00650C33"/>
    <w:rsid w:val="00655803"/>
    <w:rsid w:val="00657126"/>
    <w:rsid w:val="00662955"/>
    <w:rsid w:val="00664538"/>
    <w:rsid w:val="00664B5D"/>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E93"/>
    <w:rsid w:val="006D10E2"/>
    <w:rsid w:val="006D4A1B"/>
    <w:rsid w:val="006D63EA"/>
    <w:rsid w:val="006D6C65"/>
    <w:rsid w:val="006D77C8"/>
    <w:rsid w:val="006E07C7"/>
    <w:rsid w:val="006E2048"/>
    <w:rsid w:val="006E6B5C"/>
    <w:rsid w:val="006E7A8A"/>
    <w:rsid w:val="006F072E"/>
    <w:rsid w:val="007010C9"/>
    <w:rsid w:val="00702E99"/>
    <w:rsid w:val="0070324A"/>
    <w:rsid w:val="007032FA"/>
    <w:rsid w:val="007053FD"/>
    <w:rsid w:val="0070584A"/>
    <w:rsid w:val="007061E4"/>
    <w:rsid w:val="00721A2C"/>
    <w:rsid w:val="00724FBA"/>
    <w:rsid w:val="00726D86"/>
    <w:rsid w:val="00731FE4"/>
    <w:rsid w:val="00732580"/>
    <w:rsid w:val="00733C59"/>
    <w:rsid w:val="0074272B"/>
    <w:rsid w:val="007468EC"/>
    <w:rsid w:val="00747146"/>
    <w:rsid w:val="00747780"/>
    <w:rsid w:val="00747F5C"/>
    <w:rsid w:val="0075288E"/>
    <w:rsid w:val="00753012"/>
    <w:rsid w:val="00755493"/>
    <w:rsid w:val="00756793"/>
    <w:rsid w:val="00756DCA"/>
    <w:rsid w:val="00761345"/>
    <w:rsid w:val="0076154F"/>
    <w:rsid w:val="00762AA7"/>
    <w:rsid w:val="007641BC"/>
    <w:rsid w:val="00770671"/>
    <w:rsid w:val="007708CD"/>
    <w:rsid w:val="00773AB6"/>
    <w:rsid w:val="0078355B"/>
    <w:rsid w:val="00785B47"/>
    <w:rsid w:val="00787028"/>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C7D6E"/>
    <w:rsid w:val="007D02E4"/>
    <w:rsid w:val="007D1E46"/>
    <w:rsid w:val="007D2729"/>
    <w:rsid w:val="007D338E"/>
    <w:rsid w:val="007E1271"/>
    <w:rsid w:val="007E3C0A"/>
    <w:rsid w:val="007E59FB"/>
    <w:rsid w:val="007E6137"/>
    <w:rsid w:val="007F5A78"/>
    <w:rsid w:val="007F67D6"/>
    <w:rsid w:val="007F685F"/>
    <w:rsid w:val="007F7BDE"/>
    <w:rsid w:val="0080025B"/>
    <w:rsid w:val="008060CB"/>
    <w:rsid w:val="0080791B"/>
    <w:rsid w:val="0081065B"/>
    <w:rsid w:val="008117ED"/>
    <w:rsid w:val="00814423"/>
    <w:rsid w:val="0081575D"/>
    <w:rsid w:val="00815774"/>
    <w:rsid w:val="0081730A"/>
    <w:rsid w:val="00820D85"/>
    <w:rsid w:val="008272D0"/>
    <w:rsid w:val="00831ADB"/>
    <w:rsid w:val="00834C20"/>
    <w:rsid w:val="00836DC7"/>
    <w:rsid w:val="00847194"/>
    <w:rsid w:val="00850D4B"/>
    <w:rsid w:val="00851276"/>
    <w:rsid w:val="0085317A"/>
    <w:rsid w:val="008547E1"/>
    <w:rsid w:val="00856B13"/>
    <w:rsid w:val="00857B23"/>
    <w:rsid w:val="008621F6"/>
    <w:rsid w:val="00862FE6"/>
    <w:rsid w:val="008637D0"/>
    <w:rsid w:val="008646CB"/>
    <w:rsid w:val="008652BB"/>
    <w:rsid w:val="00865BB0"/>
    <w:rsid w:val="008706B6"/>
    <w:rsid w:val="00872498"/>
    <w:rsid w:val="008733AB"/>
    <w:rsid w:val="0087447E"/>
    <w:rsid w:val="00874AC7"/>
    <w:rsid w:val="00875EE5"/>
    <w:rsid w:val="00876491"/>
    <w:rsid w:val="00876993"/>
    <w:rsid w:val="00890955"/>
    <w:rsid w:val="00892FDB"/>
    <w:rsid w:val="00897FC3"/>
    <w:rsid w:val="008A1C6F"/>
    <w:rsid w:val="008A2E0F"/>
    <w:rsid w:val="008B482C"/>
    <w:rsid w:val="008B4ED4"/>
    <w:rsid w:val="008B551D"/>
    <w:rsid w:val="008B6066"/>
    <w:rsid w:val="008C40FA"/>
    <w:rsid w:val="008C4214"/>
    <w:rsid w:val="008C6A50"/>
    <w:rsid w:val="008D4443"/>
    <w:rsid w:val="008E0C5B"/>
    <w:rsid w:val="008E66BF"/>
    <w:rsid w:val="008F2C0C"/>
    <w:rsid w:val="008F303D"/>
    <w:rsid w:val="008F7279"/>
    <w:rsid w:val="008F75DF"/>
    <w:rsid w:val="008F7F91"/>
    <w:rsid w:val="00903E4C"/>
    <w:rsid w:val="0090635D"/>
    <w:rsid w:val="009074E9"/>
    <w:rsid w:val="009109D8"/>
    <w:rsid w:val="0091283F"/>
    <w:rsid w:val="009143D3"/>
    <w:rsid w:val="009175FC"/>
    <w:rsid w:val="00917653"/>
    <w:rsid w:val="00921B1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4447"/>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C2F6C"/>
    <w:rsid w:val="009D0D32"/>
    <w:rsid w:val="009D15C4"/>
    <w:rsid w:val="009D1868"/>
    <w:rsid w:val="009D1D75"/>
    <w:rsid w:val="009D3A5A"/>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6819"/>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169"/>
    <w:rsid w:val="00A77B70"/>
    <w:rsid w:val="00A81950"/>
    <w:rsid w:val="00A84537"/>
    <w:rsid w:val="00A85B6A"/>
    <w:rsid w:val="00A9313B"/>
    <w:rsid w:val="00AA0BE3"/>
    <w:rsid w:val="00AA0CDF"/>
    <w:rsid w:val="00AA130A"/>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36AC"/>
    <w:rsid w:val="00AC5AA3"/>
    <w:rsid w:val="00AC715A"/>
    <w:rsid w:val="00AD00FD"/>
    <w:rsid w:val="00AD1B00"/>
    <w:rsid w:val="00AD1D35"/>
    <w:rsid w:val="00AD1FD3"/>
    <w:rsid w:val="00AD2B57"/>
    <w:rsid w:val="00AD3055"/>
    <w:rsid w:val="00AD77FC"/>
    <w:rsid w:val="00AE0125"/>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77241"/>
    <w:rsid w:val="00B80563"/>
    <w:rsid w:val="00B80D99"/>
    <w:rsid w:val="00B82EED"/>
    <w:rsid w:val="00B8378E"/>
    <w:rsid w:val="00B8631F"/>
    <w:rsid w:val="00B86435"/>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40D"/>
    <w:rsid w:val="00BF49D7"/>
    <w:rsid w:val="00C023F6"/>
    <w:rsid w:val="00C02F9E"/>
    <w:rsid w:val="00C05B26"/>
    <w:rsid w:val="00C05DA2"/>
    <w:rsid w:val="00C10C0E"/>
    <w:rsid w:val="00C10D70"/>
    <w:rsid w:val="00C10DD7"/>
    <w:rsid w:val="00C13FE0"/>
    <w:rsid w:val="00C150B8"/>
    <w:rsid w:val="00C161C0"/>
    <w:rsid w:val="00C1704A"/>
    <w:rsid w:val="00C17B61"/>
    <w:rsid w:val="00C21854"/>
    <w:rsid w:val="00C21863"/>
    <w:rsid w:val="00C22371"/>
    <w:rsid w:val="00C245F5"/>
    <w:rsid w:val="00C25F4D"/>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1D50"/>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71F1"/>
    <w:rsid w:val="00D20720"/>
    <w:rsid w:val="00D21B59"/>
    <w:rsid w:val="00D2584A"/>
    <w:rsid w:val="00D302F3"/>
    <w:rsid w:val="00D31FD6"/>
    <w:rsid w:val="00D3389A"/>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2E87"/>
    <w:rsid w:val="00D83510"/>
    <w:rsid w:val="00D91EAE"/>
    <w:rsid w:val="00D96D86"/>
    <w:rsid w:val="00D97C71"/>
    <w:rsid w:val="00DA13CD"/>
    <w:rsid w:val="00DA7404"/>
    <w:rsid w:val="00DA7CA7"/>
    <w:rsid w:val="00DB0729"/>
    <w:rsid w:val="00DB1AC8"/>
    <w:rsid w:val="00DC15B6"/>
    <w:rsid w:val="00DC19A6"/>
    <w:rsid w:val="00DC2B66"/>
    <w:rsid w:val="00DC32F1"/>
    <w:rsid w:val="00DD0656"/>
    <w:rsid w:val="00DD1284"/>
    <w:rsid w:val="00DD6296"/>
    <w:rsid w:val="00DD6482"/>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46A45"/>
    <w:rsid w:val="00E526E0"/>
    <w:rsid w:val="00E5302C"/>
    <w:rsid w:val="00E53D3B"/>
    <w:rsid w:val="00E56B1C"/>
    <w:rsid w:val="00E5771B"/>
    <w:rsid w:val="00E6204E"/>
    <w:rsid w:val="00E65692"/>
    <w:rsid w:val="00E65937"/>
    <w:rsid w:val="00E670EF"/>
    <w:rsid w:val="00E67B28"/>
    <w:rsid w:val="00E67F53"/>
    <w:rsid w:val="00E701C0"/>
    <w:rsid w:val="00E71504"/>
    <w:rsid w:val="00E73288"/>
    <w:rsid w:val="00E75074"/>
    <w:rsid w:val="00E81453"/>
    <w:rsid w:val="00E82968"/>
    <w:rsid w:val="00E84984"/>
    <w:rsid w:val="00E84F42"/>
    <w:rsid w:val="00E85848"/>
    <w:rsid w:val="00E85F83"/>
    <w:rsid w:val="00E87C20"/>
    <w:rsid w:val="00E94BEB"/>
    <w:rsid w:val="00E965F6"/>
    <w:rsid w:val="00EA0DBD"/>
    <w:rsid w:val="00EA0FCB"/>
    <w:rsid w:val="00EA2794"/>
    <w:rsid w:val="00EA2A34"/>
    <w:rsid w:val="00EA3A4B"/>
    <w:rsid w:val="00EB0DBD"/>
    <w:rsid w:val="00EB24B3"/>
    <w:rsid w:val="00EB2C63"/>
    <w:rsid w:val="00EC1AE4"/>
    <w:rsid w:val="00EC343E"/>
    <w:rsid w:val="00EC44DC"/>
    <w:rsid w:val="00EC48FB"/>
    <w:rsid w:val="00EC654D"/>
    <w:rsid w:val="00EC6A22"/>
    <w:rsid w:val="00EC7878"/>
    <w:rsid w:val="00ED0F2C"/>
    <w:rsid w:val="00ED1551"/>
    <w:rsid w:val="00ED170E"/>
    <w:rsid w:val="00ED3DAF"/>
    <w:rsid w:val="00ED4E71"/>
    <w:rsid w:val="00ED57BE"/>
    <w:rsid w:val="00ED5DDF"/>
    <w:rsid w:val="00ED7778"/>
    <w:rsid w:val="00EE0A39"/>
    <w:rsid w:val="00EE2078"/>
    <w:rsid w:val="00EE2415"/>
    <w:rsid w:val="00EE26B5"/>
    <w:rsid w:val="00EE348A"/>
    <w:rsid w:val="00EE58A3"/>
    <w:rsid w:val="00EE6219"/>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502D"/>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2B9D"/>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3FE4E01"/>
    <w:rsid w:val="0ABE46E6"/>
    <w:rsid w:val="0F5D683F"/>
    <w:rsid w:val="15363789"/>
    <w:rsid w:val="17216865"/>
    <w:rsid w:val="1C5E4196"/>
    <w:rsid w:val="1D9F299F"/>
    <w:rsid w:val="1EAA1814"/>
    <w:rsid w:val="20E44A3D"/>
    <w:rsid w:val="20EA1A3A"/>
    <w:rsid w:val="252E7AB0"/>
    <w:rsid w:val="25C63A99"/>
    <w:rsid w:val="25E44444"/>
    <w:rsid w:val="284523C1"/>
    <w:rsid w:val="2AD26CCF"/>
    <w:rsid w:val="2B77480B"/>
    <w:rsid w:val="2DDE1A37"/>
    <w:rsid w:val="31D313B5"/>
    <w:rsid w:val="32972F21"/>
    <w:rsid w:val="335F7DCE"/>
    <w:rsid w:val="34757BA6"/>
    <w:rsid w:val="35423545"/>
    <w:rsid w:val="388B3362"/>
    <w:rsid w:val="3A2B21E3"/>
    <w:rsid w:val="3B010812"/>
    <w:rsid w:val="47B814BA"/>
    <w:rsid w:val="4CE76C4F"/>
    <w:rsid w:val="529A2404"/>
    <w:rsid w:val="52B246D2"/>
    <w:rsid w:val="559C3E9D"/>
    <w:rsid w:val="562D0D67"/>
    <w:rsid w:val="64046B45"/>
    <w:rsid w:val="665E5BA5"/>
    <w:rsid w:val="669E0512"/>
    <w:rsid w:val="683625A6"/>
    <w:rsid w:val="6CE82B24"/>
    <w:rsid w:val="76F97D89"/>
    <w:rsid w:val="7B8032EB"/>
    <w:rsid w:val="7E010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Indent"/>
    <w:basedOn w:val="1"/>
    <w:qFormat/>
    <w:uiPriority w:val="0"/>
    <w:pPr>
      <w:spacing w:line="0" w:lineRule="atLeast"/>
      <w:ind w:firstLine="527" w:firstLineChars="200"/>
    </w:pPr>
    <w:rPr>
      <w:rFonts w:ascii="仿宋_GB2312" w:eastAsia="仿宋_GB2312"/>
      <w:sz w:val="28"/>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character" w:customStyle="1" w:styleId="12">
    <w:name w:val="标题 1 Char"/>
    <w:link w:val="4"/>
    <w:qFormat/>
    <w:uiPriority w:val="9"/>
    <w:rPr>
      <w:rFonts w:ascii="宋体" w:hAnsi="宋体" w:cs="宋体"/>
      <w:b/>
      <w:bCs/>
      <w:kern w:val="36"/>
      <w:sz w:val="48"/>
      <w:szCs w:val="48"/>
    </w:rPr>
  </w:style>
  <w:style w:type="paragraph" w:customStyle="1" w:styleId="13">
    <w:name w:val="Char Char Char Char Char Char1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4</Pages>
  <Words>325</Words>
  <Characters>1855</Characters>
  <Lines>15</Lines>
  <Paragraphs>4</Paragraphs>
  <TotalTime>11</TotalTime>
  <ScaleCrop>false</ScaleCrop>
  <LinksUpToDate>false</LinksUpToDate>
  <CharactersWithSpaces>2176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2020-12-07T10:03:25Z</dcterms:modified>
  <dc:title>审批意见：</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