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新平县市场监督管理局行政处罚</w:t>
      </w:r>
      <w:r>
        <w:rPr>
          <w:rFonts w:hint="eastAsia"/>
          <w:b/>
          <w:bCs/>
          <w:sz w:val="32"/>
          <w:szCs w:val="32"/>
          <w:lang w:eastAsia="zh-CN"/>
        </w:rPr>
        <w:t>案件</w:t>
      </w:r>
      <w:r>
        <w:rPr>
          <w:rFonts w:hint="eastAsia"/>
          <w:b/>
          <w:bCs/>
          <w:sz w:val="32"/>
          <w:szCs w:val="32"/>
        </w:rPr>
        <w:t>信息公示</w:t>
      </w:r>
      <w:r>
        <w:rPr>
          <w:rFonts w:hint="eastAsia"/>
          <w:b/>
          <w:bCs/>
          <w:sz w:val="32"/>
          <w:szCs w:val="32"/>
          <w:lang w:eastAsia="zh-CN"/>
        </w:rPr>
        <w:t>（</w:t>
      </w:r>
      <w:r>
        <w:rPr>
          <w:rFonts w:hint="eastAsia"/>
          <w:b/>
          <w:bCs/>
          <w:sz w:val="32"/>
          <w:szCs w:val="32"/>
        </w:rPr>
        <w:t>第</w:t>
      </w:r>
      <w:r>
        <w:rPr>
          <w:rFonts w:hint="eastAsia"/>
          <w:b/>
          <w:bCs/>
          <w:sz w:val="32"/>
          <w:szCs w:val="32"/>
          <w:lang w:eastAsia="zh-CN"/>
        </w:rPr>
        <w:t>四</w:t>
      </w:r>
      <w:r>
        <w:rPr>
          <w:rFonts w:hint="eastAsia"/>
          <w:b/>
          <w:bCs/>
          <w:sz w:val="32"/>
          <w:szCs w:val="32"/>
        </w:rPr>
        <w:t>期</w:t>
      </w:r>
      <w:r>
        <w:rPr>
          <w:rFonts w:hint="eastAsia"/>
          <w:b/>
          <w:bCs/>
          <w:sz w:val="32"/>
          <w:szCs w:val="32"/>
          <w:lang w:eastAsia="zh-CN"/>
        </w:rPr>
        <w:t>）</w:t>
      </w:r>
      <w:bookmarkStart w:id="0" w:name="_GoBack"/>
      <w:bookmarkEnd w:id="0"/>
    </w:p>
    <w:p>
      <w:pPr>
        <w:rPr>
          <w:rFonts w:hint="eastAsia"/>
        </w:rPr>
      </w:pPr>
    </w:p>
    <w:tbl>
      <w:tblPr>
        <w:tblStyle w:val="3"/>
        <w:tblW w:w="21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49"/>
        <w:gridCol w:w="2059"/>
        <w:gridCol w:w="1719"/>
        <w:gridCol w:w="5995"/>
        <w:gridCol w:w="3730"/>
        <w:gridCol w:w="1788"/>
        <w:gridCol w:w="1396"/>
        <w:gridCol w:w="12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54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案件名称</w:t>
            </w:r>
          </w:p>
        </w:tc>
        <w:tc>
          <w:tcPr>
            <w:tcW w:w="205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法定代表人（负责人）姓名及信用代码</w:t>
            </w:r>
          </w:p>
        </w:tc>
        <w:tc>
          <w:tcPr>
            <w:tcW w:w="171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处罚文书文号</w:t>
            </w:r>
          </w:p>
        </w:tc>
        <w:tc>
          <w:tcPr>
            <w:tcW w:w="5995"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违法事实</w:t>
            </w:r>
          </w:p>
        </w:tc>
        <w:tc>
          <w:tcPr>
            <w:tcW w:w="37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处罚依据</w:t>
            </w:r>
          </w:p>
        </w:tc>
        <w:tc>
          <w:tcPr>
            <w:tcW w:w="1788"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处罚结果</w:t>
            </w:r>
          </w:p>
        </w:tc>
        <w:tc>
          <w:tcPr>
            <w:tcW w:w="139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处罚机关</w:t>
            </w:r>
          </w:p>
        </w:tc>
        <w:tc>
          <w:tcPr>
            <w:tcW w:w="1295"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处罚日期</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sz w:val="28"/>
                <w:szCs w:val="28"/>
                <w:u w:val="none"/>
                <w:lang w:eastAsia="zh-CN"/>
              </w:rPr>
              <w:t>王春明销售未经肉品品质检验合格的生猪产品</w:t>
            </w:r>
            <w:r>
              <w:rPr>
                <w:rFonts w:hint="eastAsia" w:ascii="楷体_GB2312" w:hAnsi="楷体_GB2312" w:eastAsia="楷体_GB2312" w:cs="楷体_GB2312"/>
                <w:color w:val="000000"/>
                <w:sz w:val="28"/>
                <w:szCs w:val="28"/>
                <w:u w:val="none"/>
                <w:lang w:eastAsia="zh-CN"/>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00000A"/>
                <w:sz w:val="28"/>
                <w:szCs w:val="28"/>
                <w:u w:val="none"/>
                <w:lang w:eastAsia="zh-CN"/>
              </w:rPr>
            </w:pPr>
            <w:r>
              <w:rPr>
                <w:rFonts w:hint="eastAsia" w:ascii="楷体_GB2312" w:hAnsi="楷体_GB2312" w:eastAsia="楷体_GB2312" w:cs="楷体_GB2312"/>
                <w:color w:val="00000A"/>
                <w:sz w:val="28"/>
                <w:szCs w:val="28"/>
                <w:u w:val="none"/>
                <w:lang w:eastAsia="zh-CN"/>
              </w:rPr>
              <w:t>王春明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00000A"/>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00000A"/>
                <w:sz w:val="28"/>
                <w:szCs w:val="28"/>
                <w:u w:val="none"/>
                <w:lang w:eastAsia="zh-CN"/>
              </w:rPr>
            </w:pP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color w:val="00000A"/>
                <w:sz w:val="28"/>
                <w:szCs w:val="28"/>
                <w:u w:val="none"/>
              </w:rPr>
              <w:t>新市监罚[20</w:t>
            </w:r>
            <w:r>
              <w:rPr>
                <w:rFonts w:hint="eastAsia" w:ascii="楷体_GB2312" w:hAnsi="楷体_GB2312" w:eastAsia="楷体_GB2312" w:cs="楷体_GB2312"/>
                <w:color w:val="00000A"/>
                <w:sz w:val="28"/>
                <w:szCs w:val="28"/>
                <w:u w:val="none"/>
                <w:lang w:val="en-US" w:eastAsia="zh-CN"/>
              </w:rPr>
              <w:t>20</w:t>
            </w:r>
            <w:r>
              <w:rPr>
                <w:rFonts w:hint="eastAsia" w:ascii="楷体_GB2312" w:hAnsi="楷体_GB2312" w:eastAsia="楷体_GB2312" w:cs="楷体_GB2312"/>
                <w:color w:val="00000A"/>
                <w:sz w:val="28"/>
                <w:szCs w:val="28"/>
                <w:u w:val="none"/>
              </w:rPr>
              <w:t>]</w:t>
            </w:r>
            <w:r>
              <w:rPr>
                <w:rFonts w:hint="eastAsia" w:ascii="楷体_GB2312" w:hAnsi="楷体_GB2312" w:eastAsia="楷体_GB2312" w:cs="楷体_GB2312"/>
                <w:color w:val="00000A"/>
                <w:sz w:val="28"/>
                <w:szCs w:val="28"/>
                <w:u w:val="none"/>
                <w:lang w:val="en-US" w:eastAsia="zh-CN"/>
              </w:rPr>
              <w:t>59</w:t>
            </w:r>
            <w:r>
              <w:rPr>
                <w:rFonts w:hint="eastAsia" w:ascii="楷体_GB2312" w:hAnsi="楷体_GB2312" w:eastAsia="楷体_GB2312" w:cs="楷体_GB2312"/>
                <w:color w:val="00000A"/>
                <w:sz w:val="28"/>
                <w:szCs w:val="28"/>
                <w:u w:val="none"/>
              </w:rPr>
              <w:t>号</w:t>
            </w:r>
          </w:p>
        </w:tc>
        <w:tc>
          <w:tcPr>
            <w:tcW w:w="5995"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楷体_GB2312" w:eastAsia="楷体_GB2312" w:cs="楷体_GB2312"/>
                <w:color w:val="auto"/>
                <w:sz w:val="28"/>
                <w:szCs w:val="28"/>
                <w:u w:val="none"/>
                <w:lang w:val="en-US" w:eastAsia="zh-CN"/>
              </w:rPr>
            </w:pPr>
            <w:r>
              <w:rPr>
                <w:rFonts w:hint="eastAsia" w:ascii="楷体_GB2312" w:hAnsi="楷体_GB2312" w:eastAsia="楷体_GB2312" w:cs="楷体_GB2312"/>
                <w:sz w:val="28"/>
                <w:szCs w:val="28"/>
                <w:u w:val="none"/>
              </w:rPr>
              <w:t>经查明，当事人</w:t>
            </w:r>
            <w:r>
              <w:rPr>
                <w:rFonts w:hint="eastAsia" w:ascii="楷体_GB2312" w:hAnsi="楷体_GB2312" w:eastAsia="楷体_GB2312" w:cs="楷体_GB2312"/>
                <w:sz w:val="28"/>
                <w:szCs w:val="28"/>
                <w:u w:val="none"/>
                <w:lang w:eastAsia="zh-CN"/>
              </w:rPr>
              <w:t>于</w:t>
            </w:r>
            <w:r>
              <w:rPr>
                <w:rFonts w:hint="eastAsia" w:ascii="楷体_GB2312" w:hAnsi="楷体_GB2312" w:eastAsia="楷体_GB2312" w:cs="楷体_GB2312"/>
                <w:sz w:val="28"/>
                <w:szCs w:val="28"/>
                <w:u w:val="none"/>
                <w:lang w:val="en-US" w:eastAsia="zh-CN"/>
              </w:rPr>
              <w:t>2020年6月16日，自己一个人开车到新平县水塘镇牲畜交易市场花5160元买了一头生猪，当天晚上8点左右拉回到漠沙，因猪喘粗气，当事人用冷水给猪降温，降温后发现猪可能不行了，因担心拉到屠宰场以后等不到天亮就死掉，所以当事人就在自己家中将该头生猪宰杀，宰杀后将猪肉放在自己冰箱保存。2020年6月18日，当事人将6月16日自己在家屠宰的猪肉拿到漠沙镇托竜街农贸市场进行售卖，至被我局执法人员检查发现时，当事人以12元/斤的价格卖出猪肉3斤，获销售款36元</w:t>
            </w:r>
            <w:r>
              <w:rPr>
                <w:rFonts w:hint="eastAsia" w:ascii="楷体_GB2312" w:hAnsi="楷体_GB2312" w:eastAsia="楷体_GB2312" w:cs="楷体_GB2312"/>
                <w:color w:val="auto"/>
                <w:sz w:val="28"/>
                <w:szCs w:val="28"/>
                <w:u w:val="none"/>
                <w:lang w:val="en-US" w:eastAsia="zh-CN"/>
              </w:rPr>
              <w:t>，除我局扣押的55市斤猪肉产品外，其余部分被当事人加工食用，当事人未建立相关进销货台账，未能提供相关票据，货值金额难以计算。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楷体_GB2312" w:eastAsia="楷体_GB2312" w:cs="楷体_GB2312"/>
                <w:sz w:val="28"/>
                <w:szCs w:val="28"/>
                <w:u w:val="none"/>
              </w:rPr>
            </w:pPr>
            <w:r>
              <w:rPr>
                <w:rFonts w:hint="eastAsia" w:ascii="楷体_GB2312" w:hAnsi="楷体_GB2312" w:eastAsia="楷体_GB2312" w:cs="楷体_GB2312"/>
                <w:color w:val="auto"/>
                <w:sz w:val="28"/>
                <w:szCs w:val="28"/>
                <w:u w:val="none"/>
              </w:rPr>
              <w:t xml:space="preserve">  </w:t>
            </w:r>
            <w:r>
              <w:rPr>
                <w:rFonts w:hint="eastAsia" w:ascii="楷体_GB2312" w:hAnsi="楷体_GB2312" w:eastAsia="楷体_GB2312" w:cs="楷体_GB2312"/>
                <w:color w:val="000000"/>
                <w:sz w:val="28"/>
                <w:szCs w:val="28"/>
                <w:u w:val="none"/>
              </w:rPr>
              <w:t>本局于20</w:t>
            </w:r>
            <w:r>
              <w:rPr>
                <w:rFonts w:hint="eastAsia" w:ascii="楷体_GB2312" w:hAnsi="楷体_GB2312" w:eastAsia="楷体_GB2312" w:cs="楷体_GB2312"/>
                <w:color w:val="000000"/>
                <w:sz w:val="28"/>
                <w:szCs w:val="28"/>
                <w:u w:val="none"/>
                <w:lang w:val="en-US" w:eastAsia="zh-CN"/>
              </w:rPr>
              <w:t>20</w:t>
            </w:r>
            <w:r>
              <w:rPr>
                <w:rFonts w:hint="eastAsia" w:ascii="楷体_GB2312" w:hAnsi="楷体_GB2312" w:eastAsia="楷体_GB2312" w:cs="楷体_GB2312"/>
                <w:color w:val="000000"/>
                <w:sz w:val="28"/>
                <w:szCs w:val="28"/>
                <w:u w:val="none"/>
              </w:rPr>
              <w:t>年</w:t>
            </w:r>
            <w:r>
              <w:rPr>
                <w:rFonts w:hint="eastAsia" w:ascii="楷体_GB2312" w:hAnsi="楷体_GB2312" w:eastAsia="楷体_GB2312" w:cs="楷体_GB2312"/>
                <w:color w:val="000000"/>
                <w:sz w:val="28"/>
                <w:szCs w:val="28"/>
                <w:u w:val="none"/>
                <w:lang w:val="en-US" w:eastAsia="zh-CN"/>
              </w:rPr>
              <w:t>7</w:t>
            </w:r>
            <w:r>
              <w:rPr>
                <w:rFonts w:hint="eastAsia" w:ascii="楷体_GB2312" w:hAnsi="楷体_GB2312" w:eastAsia="楷体_GB2312" w:cs="楷体_GB2312"/>
                <w:color w:val="000000"/>
                <w:sz w:val="28"/>
                <w:szCs w:val="28"/>
                <w:u w:val="none"/>
                <w:lang w:eastAsia="zh-CN"/>
              </w:rPr>
              <w:t>月</w:t>
            </w:r>
            <w:r>
              <w:rPr>
                <w:rFonts w:hint="eastAsia" w:ascii="楷体_GB2312" w:hAnsi="楷体_GB2312" w:eastAsia="楷体_GB2312" w:cs="楷体_GB2312"/>
                <w:color w:val="000000"/>
                <w:sz w:val="28"/>
                <w:szCs w:val="28"/>
                <w:u w:val="none"/>
                <w:lang w:val="en-US" w:eastAsia="zh-CN"/>
              </w:rPr>
              <w:t>23</w:t>
            </w:r>
            <w:r>
              <w:rPr>
                <w:rFonts w:hint="eastAsia" w:ascii="楷体_GB2312" w:hAnsi="楷体_GB2312" w:eastAsia="楷体_GB2312" w:cs="楷体_GB2312"/>
                <w:color w:val="000000"/>
                <w:sz w:val="28"/>
                <w:szCs w:val="28"/>
                <w:u w:val="none"/>
              </w:rPr>
              <w:t>日向当事人送达了新市监</w:t>
            </w:r>
            <w:r>
              <w:rPr>
                <w:rFonts w:hint="eastAsia" w:ascii="楷体_GB2312" w:hAnsi="楷体_GB2312" w:eastAsia="楷体_GB2312" w:cs="楷体_GB2312"/>
                <w:color w:val="000000"/>
                <w:sz w:val="28"/>
                <w:szCs w:val="28"/>
                <w:u w:val="none"/>
                <w:lang w:eastAsia="zh-CN"/>
              </w:rPr>
              <w:t>听</w:t>
            </w:r>
            <w:r>
              <w:rPr>
                <w:rFonts w:hint="eastAsia" w:ascii="楷体_GB2312" w:hAnsi="楷体_GB2312" w:eastAsia="楷体_GB2312" w:cs="楷体_GB2312"/>
                <w:color w:val="000000"/>
                <w:sz w:val="28"/>
                <w:szCs w:val="28"/>
                <w:u w:val="none"/>
              </w:rPr>
              <w:t>告</w:t>
            </w:r>
            <w:r>
              <w:rPr>
                <w:rFonts w:hint="eastAsia" w:ascii="楷体_GB2312" w:hAnsi="楷体_GB2312" w:eastAsia="楷体_GB2312" w:cs="楷体_GB2312"/>
                <w:color w:val="000000"/>
                <w:sz w:val="28"/>
                <w:szCs w:val="28"/>
                <w:u w:val="none"/>
                <w:lang w:val="en-US" w:eastAsia="zh-CN"/>
              </w:rPr>
              <w:t>[</w:t>
            </w:r>
            <w:r>
              <w:rPr>
                <w:rFonts w:hint="eastAsia" w:ascii="楷体_GB2312" w:hAnsi="楷体_GB2312" w:eastAsia="楷体_GB2312" w:cs="楷体_GB2312"/>
                <w:color w:val="000000"/>
                <w:sz w:val="28"/>
                <w:szCs w:val="28"/>
                <w:u w:val="none"/>
              </w:rPr>
              <w:t>20</w:t>
            </w:r>
            <w:r>
              <w:rPr>
                <w:rFonts w:hint="eastAsia" w:ascii="楷体_GB2312" w:hAnsi="楷体_GB2312" w:eastAsia="楷体_GB2312" w:cs="楷体_GB2312"/>
                <w:color w:val="000000"/>
                <w:sz w:val="28"/>
                <w:szCs w:val="28"/>
                <w:u w:val="none"/>
                <w:lang w:val="en-US" w:eastAsia="zh-CN"/>
              </w:rPr>
              <w:t>20] 5</w:t>
            </w:r>
            <w:r>
              <w:rPr>
                <w:rFonts w:hint="eastAsia" w:ascii="楷体_GB2312" w:hAnsi="楷体_GB2312" w:eastAsia="楷体_GB2312" w:cs="楷体_GB2312"/>
                <w:color w:val="000000"/>
                <w:sz w:val="28"/>
                <w:szCs w:val="28"/>
                <w:u w:val="none"/>
              </w:rPr>
              <w:t>号《新平县市场监督管理局行政处罚</w:t>
            </w:r>
            <w:r>
              <w:rPr>
                <w:rFonts w:hint="eastAsia" w:ascii="楷体_GB2312" w:hAnsi="楷体_GB2312" w:eastAsia="楷体_GB2312" w:cs="楷体_GB2312"/>
                <w:color w:val="000000"/>
                <w:sz w:val="28"/>
                <w:szCs w:val="28"/>
                <w:u w:val="none"/>
                <w:lang w:eastAsia="zh-CN"/>
              </w:rPr>
              <w:t>听证</w:t>
            </w:r>
            <w:r>
              <w:rPr>
                <w:rFonts w:hint="eastAsia" w:ascii="楷体_GB2312" w:hAnsi="楷体_GB2312" w:eastAsia="楷体_GB2312" w:cs="楷体_GB2312"/>
                <w:color w:val="000000"/>
                <w:sz w:val="28"/>
                <w:szCs w:val="28"/>
                <w:u w:val="none"/>
              </w:rPr>
              <w:t>告知书》，告知当事人拟作出行政处罚的事实、理由、依据及处罚内容，</w:t>
            </w:r>
            <w:r>
              <w:rPr>
                <w:rFonts w:hint="eastAsia" w:ascii="楷体_GB2312" w:hAnsi="楷体_GB2312" w:eastAsia="楷体_GB2312" w:cs="楷体_GB2312"/>
                <w:color w:val="000000"/>
                <w:kern w:val="32"/>
                <w:sz w:val="28"/>
                <w:szCs w:val="28"/>
                <w:u w:val="none"/>
              </w:rPr>
              <w:t>当事人在法定期限内未提出陈述和申辩</w:t>
            </w:r>
            <w:r>
              <w:rPr>
                <w:rFonts w:hint="eastAsia" w:ascii="楷体_GB2312" w:hAnsi="楷体_GB2312" w:eastAsia="楷体_GB2312" w:cs="楷体_GB2312"/>
                <w:color w:val="000000"/>
                <w:kern w:val="32"/>
                <w:sz w:val="28"/>
                <w:szCs w:val="28"/>
                <w:u w:val="none"/>
                <w:lang w:eastAsia="zh-CN"/>
              </w:rPr>
              <w:t>，也未要求举行听证</w:t>
            </w:r>
            <w:r>
              <w:rPr>
                <w:rFonts w:hint="eastAsia" w:ascii="楷体_GB2312" w:hAnsi="楷体_GB2312" w:eastAsia="楷体_GB2312" w:cs="楷体_GB2312"/>
                <w:color w:val="000000"/>
                <w:kern w:val="32"/>
                <w:sz w:val="28"/>
                <w:szCs w:val="28"/>
                <w:u w:val="none"/>
              </w:rPr>
              <w:t>。</w:t>
            </w:r>
            <w:r>
              <w:rPr>
                <w:rFonts w:hint="eastAsia" w:ascii="楷体_GB2312" w:hAnsi="楷体_GB2312" w:eastAsia="楷体_GB2312" w:cs="楷体_GB2312"/>
                <w:color w:val="auto"/>
                <w:sz w:val="28"/>
                <w:szCs w:val="28"/>
                <w:u w:val="none"/>
              </w:rPr>
              <w:t xml:space="preserve">         </w:t>
            </w:r>
            <w:r>
              <w:rPr>
                <w:rFonts w:hint="eastAsia" w:ascii="楷体_GB2312" w:hAnsi="楷体_GB2312" w:eastAsia="楷体_GB2312" w:cs="楷体_GB2312"/>
                <w:sz w:val="28"/>
                <w:szCs w:val="28"/>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8" w:rightChars="4" w:firstLine="640"/>
              <w:jc w:val="both"/>
              <w:textAlignment w:val="auto"/>
              <w:rPr>
                <w:rFonts w:hint="eastAsia" w:ascii="楷体_GB2312" w:hAnsi="楷体_GB2312" w:eastAsia="楷体_GB2312" w:cs="楷体_GB2312"/>
                <w:color w:val="auto"/>
                <w:sz w:val="28"/>
                <w:szCs w:val="28"/>
                <w:u w:val="none"/>
                <w:lang w:val="en-US" w:eastAsia="zh-CN"/>
              </w:rPr>
            </w:pPr>
          </w:p>
        </w:tc>
        <w:tc>
          <w:tcPr>
            <w:tcW w:w="3730"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楷体_GB2312" w:hAnsi="楷体_GB2312" w:eastAsia="楷体_GB2312" w:cs="楷体_GB2312"/>
                <w:sz w:val="28"/>
                <w:szCs w:val="28"/>
                <w:u w:val="none"/>
                <w:vertAlign w:val="baseline"/>
                <w:lang w:eastAsia="zh-CN"/>
              </w:rPr>
            </w:pPr>
            <w:r>
              <w:rPr>
                <w:rFonts w:hint="eastAsia" w:ascii="楷体_GB2312" w:hAnsi="楷体_GB2312" w:eastAsia="楷体_GB2312" w:cs="楷体_GB2312"/>
                <w:color w:val="000000"/>
                <w:sz w:val="28"/>
                <w:szCs w:val="28"/>
                <w:u w:val="none"/>
              </w:rPr>
              <w:t xml:space="preserve"> </w:t>
            </w:r>
            <w:r>
              <w:rPr>
                <w:rFonts w:hint="eastAsia" w:ascii="楷体_GB2312" w:hAnsi="楷体_GB2312" w:eastAsia="楷体_GB2312" w:cs="楷体_GB2312"/>
                <w:sz w:val="28"/>
                <w:szCs w:val="28"/>
                <w:u w:val="none"/>
              </w:rPr>
              <w:t>依据《</w:t>
            </w:r>
            <w:r>
              <w:rPr>
                <w:rFonts w:hint="eastAsia" w:ascii="楷体_GB2312" w:hAnsi="楷体_GB2312" w:eastAsia="楷体_GB2312" w:cs="楷体_GB2312"/>
                <w:sz w:val="28"/>
                <w:szCs w:val="28"/>
                <w:u w:val="none"/>
                <w:lang w:eastAsia="zh-CN"/>
              </w:rPr>
              <w:t>生猪定点屠宰管理条例</w:t>
            </w:r>
            <w:r>
              <w:rPr>
                <w:rFonts w:hint="eastAsia" w:ascii="楷体_GB2312" w:hAnsi="楷体_GB2312" w:eastAsia="楷体_GB2312" w:cs="楷体_GB2312"/>
                <w:sz w:val="28"/>
                <w:szCs w:val="28"/>
                <w:u w:val="none"/>
              </w:rPr>
              <w:t>》第</w:t>
            </w:r>
            <w:r>
              <w:rPr>
                <w:rFonts w:hint="eastAsia" w:ascii="楷体_GB2312" w:hAnsi="楷体_GB2312" w:eastAsia="楷体_GB2312" w:cs="楷体_GB2312"/>
                <w:sz w:val="28"/>
                <w:szCs w:val="28"/>
                <w:u w:val="none"/>
                <w:lang w:eastAsia="zh-CN"/>
              </w:rPr>
              <w:t>二十九条</w:t>
            </w:r>
            <w:r>
              <w:rPr>
                <w:rFonts w:hint="eastAsia" w:ascii="楷体_GB2312" w:hAnsi="楷体_GB2312" w:eastAsia="楷体_GB2312" w:cs="楷体_GB2312"/>
                <w:sz w:val="28"/>
                <w:szCs w:val="28"/>
                <w:u w:val="none"/>
              </w:rPr>
              <w:t>“</w:t>
            </w:r>
            <w:r>
              <w:rPr>
                <w:rFonts w:hint="eastAsia" w:ascii="楷体_GB2312" w:hAnsi="楷体_GB2312" w:eastAsia="楷体_GB2312" w:cs="楷体_GB2312"/>
                <w:i w:val="0"/>
                <w:caps w:val="0"/>
                <w:color w:val="333333"/>
                <w:spacing w:val="0"/>
                <w:sz w:val="28"/>
                <w:szCs w:val="28"/>
                <w:u w:val="none"/>
                <w:shd w:val="clear" w:color="auto" w:fill="FFFFFF"/>
              </w:rPr>
              <w:t>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工商、卫生、质检部门依据各自职责，没收尚未销售、使用的相关生猪产品以及违法所得，并处货值金额3倍以上5倍以下的罚款;货值金额难以确定的，对单位处5万元以上10万元以下的罚款，对个人处1万元以上2万元以下的罚款;情节严重的，由原发证(照)机关吊销有关证照;构成犯罪的，依法追究刑事责任</w:t>
            </w:r>
            <w:r>
              <w:rPr>
                <w:rFonts w:hint="eastAsia" w:ascii="楷体_GB2312" w:hAnsi="楷体_GB2312" w:eastAsia="楷体_GB2312" w:cs="楷体_GB2312"/>
                <w:sz w:val="28"/>
                <w:szCs w:val="28"/>
                <w:u w:val="none"/>
              </w:rPr>
              <w:t>”的规定</w:t>
            </w:r>
            <w:r>
              <w:rPr>
                <w:rFonts w:hint="eastAsia" w:ascii="楷体_GB2312" w:hAnsi="楷体_GB2312" w:eastAsia="楷体_GB2312" w:cs="楷体_GB2312"/>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楷体_GB2312" w:hAnsi="楷体_GB2312" w:eastAsia="楷体_GB2312" w:cs="楷体_GB2312"/>
                <w:sz w:val="28"/>
                <w:szCs w:val="28"/>
                <w:u w:val="none"/>
                <w:lang w:eastAsia="zh-CN"/>
              </w:rPr>
            </w:pPr>
            <w:r>
              <w:rPr>
                <w:rFonts w:hint="eastAsia" w:ascii="楷体_GB2312" w:hAnsi="楷体_GB2312" w:eastAsia="楷体_GB2312" w:cs="楷体_GB2312"/>
                <w:color w:val="auto"/>
                <w:sz w:val="28"/>
                <w:szCs w:val="28"/>
                <w:u w:val="none"/>
              </w:rPr>
              <w:t>责令</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改正违法行为，</w:t>
            </w:r>
            <w:r>
              <w:rPr>
                <w:rFonts w:hint="eastAsia" w:ascii="楷体_GB2312" w:hAnsi="楷体_GB2312" w:eastAsia="楷体_GB2312" w:cs="楷体_GB2312"/>
                <w:color w:val="auto"/>
                <w:sz w:val="28"/>
                <w:szCs w:val="28"/>
                <w:u w:val="none"/>
                <w:lang w:eastAsia="zh-CN"/>
              </w:rPr>
              <w:t>决定</w:t>
            </w:r>
            <w:r>
              <w:rPr>
                <w:rFonts w:hint="eastAsia" w:ascii="楷体_GB2312" w:hAnsi="楷体_GB2312" w:eastAsia="楷体_GB2312" w:cs="楷体_GB2312"/>
                <w:color w:val="auto"/>
                <w:sz w:val="28"/>
                <w:szCs w:val="28"/>
                <w:u w:val="none"/>
              </w:rPr>
              <w:t>对</w:t>
            </w:r>
            <w:r>
              <w:rPr>
                <w:rFonts w:hint="eastAsia" w:ascii="楷体_GB2312" w:hAnsi="楷体_GB2312" w:eastAsia="楷体_GB2312" w:cs="楷体_GB2312"/>
                <w:color w:val="auto"/>
                <w:sz w:val="28"/>
                <w:szCs w:val="28"/>
                <w:u w:val="none"/>
                <w:lang w:eastAsia="zh-CN"/>
              </w:rPr>
              <w:t>当事人</w:t>
            </w:r>
            <w:r>
              <w:rPr>
                <w:rFonts w:hint="eastAsia" w:ascii="楷体_GB2312" w:hAnsi="楷体_GB2312" w:eastAsia="楷体_GB2312" w:cs="楷体_GB2312"/>
                <w:color w:val="auto"/>
                <w:sz w:val="28"/>
                <w:szCs w:val="28"/>
                <w:u w:val="none"/>
              </w:rPr>
              <w:t>作如下处罚：</w:t>
            </w:r>
            <w:r>
              <w:rPr>
                <w:rFonts w:hint="eastAsia" w:ascii="楷体_GB2312" w:hAnsi="楷体_GB2312" w:eastAsia="楷体_GB2312" w:cs="楷体_GB2312"/>
                <w:sz w:val="28"/>
                <w:szCs w:val="28"/>
                <w:u w:val="none"/>
                <w:lang w:eastAsia="zh-CN"/>
              </w:rPr>
              <w:t>一、</w:t>
            </w:r>
            <w:r>
              <w:rPr>
                <w:rFonts w:hint="eastAsia" w:ascii="楷体_GB2312" w:hAnsi="楷体_GB2312" w:eastAsia="楷体_GB2312" w:cs="楷体_GB2312"/>
                <w:sz w:val="28"/>
                <w:szCs w:val="28"/>
                <w:u w:val="none"/>
              </w:rPr>
              <w:t>没收</w:t>
            </w:r>
            <w:r>
              <w:rPr>
                <w:rFonts w:hint="eastAsia" w:ascii="楷体_GB2312" w:hAnsi="楷体_GB2312" w:eastAsia="楷体_GB2312" w:cs="楷体_GB2312"/>
                <w:sz w:val="28"/>
                <w:szCs w:val="28"/>
                <w:u w:val="none"/>
                <w:lang w:eastAsia="zh-CN"/>
              </w:rPr>
              <w:t>当事人尚未销售的生猪产品：</w:t>
            </w:r>
            <w:r>
              <w:rPr>
                <w:rFonts w:hint="eastAsia" w:ascii="楷体_GB2312" w:hAnsi="楷体_GB2312" w:eastAsia="楷体_GB2312" w:cs="楷体_GB2312"/>
                <w:color w:val="000000"/>
                <w:sz w:val="28"/>
                <w:szCs w:val="28"/>
                <w:u w:val="none"/>
                <w:lang w:val="en-US" w:eastAsia="zh-CN"/>
              </w:rPr>
              <w:t>1、猪排骨15市斤；2、猪筒骨11市斤；3、猪肉：16.5市斤；4、猪脚5市斤；5、猪头5市斤；6、猪肥肉5市斤；</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楷体_GB2312" w:hAnsi="楷体_GB2312" w:eastAsia="楷体_GB2312" w:cs="楷体_GB2312"/>
                <w:sz w:val="28"/>
                <w:szCs w:val="28"/>
                <w:u w:val="none"/>
                <w:vertAlign w:val="baseline"/>
              </w:rPr>
            </w:pPr>
            <w:r>
              <w:rPr>
                <w:rFonts w:hint="eastAsia" w:ascii="楷体_GB2312" w:hAnsi="楷体_GB2312" w:eastAsia="楷体_GB2312" w:cs="楷体_GB2312"/>
                <w:sz w:val="28"/>
                <w:szCs w:val="28"/>
                <w:u w:val="none"/>
                <w:lang w:eastAsia="zh-CN"/>
              </w:rPr>
              <w:t>二、</w:t>
            </w:r>
            <w:r>
              <w:rPr>
                <w:rFonts w:hint="eastAsia" w:ascii="楷体_GB2312" w:hAnsi="楷体_GB2312" w:eastAsia="楷体_GB2312" w:cs="楷体_GB2312"/>
                <w:sz w:val="28"/>
                <w:szCs w:val="28"/>
                <w:u w:val="none"/>
              </w:rPr>
              <w:t>对当事人处以罚款人民币</w:t>
            </w:r>
            <w:r>
              <w:rPr>
                <w:rFonts w:hint="eastAsia" w:ascii="楷体_GB2312" w:hAnsi="楷体_GB2312" w:eastAsia="楷体_GB2312" w:cs="楷体_GB2312"/>
                <w:sz w:val="28"/>
                <w:szCs w:val="28"/>
                <w:u w:val="none"/>
                <w:lang w:eastAsia="zh-CN"/>
              </w:rPr>
              <w:t>壹万元</w:t>
            </w:r>
            <w:r>
              <w:rPr>
                <w:rFonts w:hint="eastAsia" w:ascii="楷体_GB2312" w:hAnsi="楷体_GB2312" w:eastAsia="楷体_GB2312" w:cs="楷体_GB2312"/>
                <w:sz w:val="28"/>
                <w:szCs w:val="28"/>
                <w:u w:val="none"/>
              </w:rPr>
              <w:t>（¥</w:t>
            </w:r>
            <w:r>
              <w:rPr>
                <w:rFonts w:hint="eastAsia" w:ascii="楷体_GB2312" w:hAnsi="楷体_GB2312" w:eastAsia="楷体_GB2312" w:cs="楷体_GB2312"/>
                <w:sz w:val="28"/>
                <w:szCs w:val="28"/>
                <w:u w:val="none"/>
                <w:lang w:val="en-US" w:eastAsia="zh-CN"/>
              </w:rPr>
              <w:t>10</w:t>
            </w:r>
            <w:r>
              <w:rPr>
                <w:rFonts w:hint="eastAsia" w:ascii="楷体_GB2312" w:hAnsi="楷体_GB2312" w:eastAsia="楷体_GB2312" w:cs="楷体_GB2312"/>
                <w:sz w:val="28"/>
                <w:szCs w:val="28"/>
                <w:u w:val="none"/>
              </w:rPr>
              <w:t>000.00</w:t>
            </w:r>
            <w:r>
              <w:rPr>
                <w:rFonts w:hint="eastAsia" w:ascii="楷体_GB2312" w:hAnsi="楷体_GB2312" w:eastAsia="楷体_GB2312" w:cs="楷体_GB2312"/>
                <w:sz w:val="28"/>
                <w:szCs w:val="28"/>
                <w:u w:val="none"/>
                <w:lang w:eastAsia="zh-CN"/>
              </w:rPr>
              <w:t>）</w:t>
            </w:r>
            <w:r>
              <w:rPr>
                <w:rFonts w:hint="eastAsia" w:ascii="楷体_GB2312" w:hAnsi="楷体_GB2312" w:eastAsia="楷体_GB2312" w:cs="楷体_GB2312"/>
                <w:bCs/>
                <w:color w:val="auto"/>
                <w:sz w:val="28"/>
                <w:szCs w:val="28"/>
                <w:u w:val="none"/>
              </w:rPr>
              <w:t>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u w:val="none"/>
                <w:vertAlign w:val="baseline"/>
                <w:lang w:eastAsia="zh-CN"/>
              </w:rPr>
            </w:pPr>
            <w:r>
              <w:rPr>
                <w:rFonts w:hint="eastAsia" w:ascii="楷体_GB2312" w:hAnsi="楷体_GB2312" w:eastAsia="楷体_GB2312" w:cs="楷体_GB2312"/>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u w:val="none"/>
                <w:vertAlign w:val="baseline"/>
                <w:lang w:val="en-US" w:eastAsia="zh-CN"/>
              </w:rPr>
            </w:pPr>
            <w:r>
              <w:rPr>
                <w:rFonts w:hint="eastAsia" w:ascii="楷体_GB2312" w:hAnsi="楷体_GB2312" w:eastAsia="楷体_GB2312" w:cs="楷体_GB2312"/>
                <w:sz w:val="28"/>
                <w:szCs w:val="28"/>
                <w:u w:val="none"/>
                <w:vertAlign w:val="baseline"/>
                <w:lang w:val="en-US" w:eastAsia="zh-CN"/>
              </w:rPr>
              <w:t>2020年7月29日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仿宋_GB2312" w:hAnsi="仿宋_GB2312" w:eastAsia="仿宋_GB2312" w:cs="仿宋_GB2312"/>
                <w:b/>
                <w:bCs/>
                <w:sz w:val="24"/>
                <w:szCs w:val="24"/>
                <w:vertAlign w:val="baseline"/>
                <w:lang w:val="en-US" w:eastAsia="zh-CN"/>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color w:val="000000"/>
                <w:sz w:val="28"/>
                <w:szCs w:val="28"/>
                <w:u w:val="none"/>
              </w:rPr>
            </w:pP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p>
        </w:tc>
        <w:tc>
          <w:tcPr>
            <w:tcW w:w="5995"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u w:val="none"/>
                <w:vertAlign w:val="baseline"/>
              </w:rPr>
            </w:pPr>
          </w:p>
        </w:tc>
        <w:tc>
          <w:tcPr>
            <w:tcW w:w="373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u w:val="none"/>
                <w:vertAlign w:val="baseline"/>
              </w:rPr>
            </w:pP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_GB2312" w:hAnsi="楷体_GB2312" w:eastAsia="楷体_GB2312" w:cs="楷体_GB2312"/>
                <w:sz w:val="28"/>
                <w:szCs w:val="28"/>
                <w:u w:val="none"/>
                <w:vertAlign w:val="baseline"/>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8"/>
                <w:szCs w:val="28"/>
                <w:u w:val="none"/>
                <w:vertAlign w:val="baseline"/>
              </w:rPr>
            </w:pP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eastAsia"/>
          <w:sz w:val="24"/>
          <w:szCs w:val="24"/>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ongolian Baiti">
    <w:altName w:val="Viner Hand ITC"/>
    <w:panose1 w:val="03000500000000000000"/>
    <w:charset w:val="00"/>
    <w:family w:val="script"/>
    <w:pitch w:val="default"/>
    <w:sig w:usb0="00000000" w:usb1="00000000" w:usb2="00020000" w:usb3="00000000" w:csb0="00000001" w:csb1="00000000"/>
  </w:font>
  <w:font w:name="Viner Hand ITC">
    <w:panose1 w:val="03070502030502020203"/>
    <w:charset w:val="00"/>
    <w:family w:val="auto"/>
    <w:pitch w:val="default"/>
    <w:sig w:usb0="00000003" w:usb1="00000000" w:usb2="00000000" w:usb3="00000000" w:csb0="20000001" w:csb1="00000000"/>
  </w:font>
  <w:font w:name="新宋体">
    <w:panose1 w:val="02010609030101010101"/>
    <w:charset w:val="86"/>
    <w:family w:val="modern"/>
    <w:pitch w:val="default"/>
    <w:sig w:usb0="00000003" w:usb1="080E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401AF5"/>
    <w:rsid w:val="1AC00944"/>
    <w:rsid w:val="1DD71E52"/>
    <w:rsid w:val="2A532EF9"/>
    <w:rsid w:val="492E1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2020-06-03T00:56:00Z</dcterms:created>
  <dc:creator>Administrator</dc:creator>
  <cp:lastModifiedBy>好运真爱</cp:lastModifiedBy>
  <dcterms:modified xsi:type="dcterms:W3CDTF">2020-12-18T03:44:46Z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