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新平县审计局2020年政府信息公开工作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年度报告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firstLine="420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一、总体情况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left="0" w:leftChars="0" w:right="0" w:rightChars="0" w:firstLine="645" w:firstLineChars="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shd w:val="clear" w:fill="FFFFFF"/>
        </w:rPr>
        <w:t>20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20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shd w:val="clear" w:fill="FFFFFF"/>
        </w:rPr>
        <w:t>年，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新平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shd w:val="clear" w:fill="FFFFFF"/>
        </w:rPr>
        <w:t>县审计局在县委、县政府和上级审计机关的正确领导下，紧紧围绕县委、县政府的中心工作，按照县委县政府统一部署和安排，不断强化政府信息公开工作，加强领导，精心组织，强化措施，狠抓落实，确保了我局政府信息公开工作的顺利开展。现结合我局工作实际以及《中华人民共和国政府信息公开条例》（以下简称《条例》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要求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新平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shd w:val="clear" w:fill="FFFFFF"/>
        </w:rPr>
        <w:t>县审计局全年政府信息公开工作情况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如下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shd w:val="clear" w:fill="FFFFFF"/>
        </w:rPr>
        <w:t>：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方正楷体_GBK" w:hAnsi="方正楷体_GBK" w:eastAsia="方正楷体_GBK" w:cs="方正楷体_GBK"/>
          <w:i w:val="0"/>
          <w:caps w:val="0"/>
          <w:color w:val="000000"/>
          <w:spacing w:val="0"/>
          <w:sz w:val="32"/>
          <w:szCs w:val="32"/>
          <w:shd w:val="clear" w:fill="FFFFFF"/>
        </w:rPr>
        <w:t>（</w:t>
      </w:r>
      <w:r>
        <w:rPr>
          <w:rFonts w:hint="eastAsia" w:ascii="方正楷体_GBK" w:hAnsi="方正楷体_GBK" w:eastAsia="方正楷体_GBK" w:cs="方正楷体_GBK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一</w:t>
      </w:r>
      <w:r>
        <w:rPr>
          <w:rFonts w:hint="eastAsia" w:ascii="方正楷体_GBK" w:hAnsi="方正楷体_GBK" w:eastAsia="方正楷体_GBK" w:cs="方正楷体_GBK"/>
          <w:i w:val="0"/>
          <w:caps w:val="0"/>
          <w:color w:val="000000"/>
          <w:spacing w:val="0"/>
          <w:sz w:val="32"/>
          <w:szCs w:val="32"/>
          <w:shd w:val="clear" w:fill="FFFFFF"/>
        </w:rPr>
        <w:t>）进一步加强组织领导。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shd w:val="clear" w:fill="FFFFFF"/>
        </w:rPr>
        <w:t>局领导班子高度重视政府信息公开工作，详细安排部署了我局政府信息公开工作。为确保工作的顺利开展，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及时调整领导小组成员，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shd w:val="clear" w:fill="FFFFFF"/>
        </w:rPr>
        <w:t>由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党组书记、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shd w:val="clear" w:fill="FFFFFF"/>
        </w:rPr>
        <w:t>局长任组长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，党支部书记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shd w:val="clear" w:fill="FFFFFF"/>
        </w:rPr>
        <w:t>任副组长的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新平县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shd w:val="clear" w:fill="FFFFFF"/>
        </w:rPr>
        <w:t>审计局政府信息公开工作领导小组，领导小组下设局办公室，由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施孟秀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shd w:val="clear" w:fill="FFFFFF"/>
        </w:rPr>
        <w:t>同志任办公室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主任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shd w:val="clear" w:fill="FFFFFF"/>
        </w:rPr>
        <w:t>，负责本局政府信息的采集、发布和综合协调等日常工作。形成了主要领导负总责，分管领导具体负责，办公室组织、推进、指导、协调、督促，一级抓一级，层层抓落实的工作格局。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i w:val="0"/>
          <w:caps w:val="0"/>
          <w:color w:val="000000"/>
          <w:spacing w:val="0"/>
          <w:sz w:val="32"/>
          <w:szCs w:val="32"/>
          <w:shd w:val="clear" w:fill="FFFFFF"/>
        </w:rPr>
        <w:t>（二）进一步规范信息公开内容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shd w:val="clear" w:fill="FFFFFF"/>
        </w:rPr>
        <w:t>。根据我局政府信息公开工作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的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shd w:val="clear" w:fill="FFFFFF"/>
        </w:rPr>
        <w:t>统一部署和要求，明确1名同志为信息公开工作信息员，具体负责政府信息公开内容维护、组织协调等日常工作。及时收集、整理我局信息，经局领导审核签字后统一发布，确保信息公开全面、及时、准确、无差错。各项信息经过严格的保密审查后，认为应当公开的，及时主动在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新平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shd w:val="clear" w:fill="FFFFFF"/>
        </w:rPr>
        <w:t>县人民政府门户网站公开。定期或不定期地对本机关公开的政府信息进行梳理、维护和更新。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i w:val="0"/>
          <w:caps w:val="0"/>
          <w:color w:val="000000"/>
          <w:spacing w:val="0"/>
          <w:sz w:val="32"/>
          <w:szCs w:val="32"/>
          <w:shd w:val="clear" w:fill="FFFFFF"/>
        </w:rPr>
        <w:t>（三）进一步完善信息公开机制。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shd w:val="clear" w:fill="FFFFFF"/>
        </w:rPr>
        <w:t>为规范我局政府信息公开工作，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制定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了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一系列规范及制度，依法建立健全了《新平县审计局政务公开管理制度》、《新平县审计局决策公开管理办法》等制度，进一步完善了政府信息公开指南和目录。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left="0" w:leftChars="0" w:right="0" w:rightChars="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shd w:val="clear" w:fill="FFFFFF"/>
        </w:rPr>
        <w:t>通过相关制度的建立和完善，提高了我局信息公开的一致性、及时性和准确性和安全性。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i w:val="0"/>
          <w:caps w:val="0"/>
          <w:color w:val="000000"/>
          <w:spacing w:val="0"/>
          <w:sz w:val="32"/>
          <w:szCs w:val="32"/>
          <w:shd w:val="clear" w:fill="FFFFFF"/>
        </w:rPr>
        <w:t>（四）主动公开政府信息的数量：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shd w:val="clear" w:fill="FFFFFF"/>
        </w:rPr>
        <w:t>20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20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shd w:val="clear" w:fill="FFFFFF"/>
        </w:rPr>
        <w:t>年，本单位在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新平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shd w:val="clear" w:fill="FFFFFF"/>
        </w:rPr>
        <w:t>县审计局网站和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新平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shd w:val="clear" w:fill="FFFFFF"/>
        </w:rPr>
        <w:t>县人民政府门户网站上主动公开政府信息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161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shd w:val="clear" w:fill="FFFFFF"/>
        </w:rPr>
        <w:t>条，其中：审计结果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22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shd w:val="clear" w:fill="FFFFFF"/>
        </w:rPr>
        <w:t>篇、动态信息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84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shd w:val="clear" w:fill="FFFFFF"/>
        </w:rPr>
        <w:t>篇、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公开指南及目录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53篇、单位概况1篇、预决算公开4篇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shd w:val="clear" w:fill="FFFFFF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方正楷体_GBK" w:hAnsi="方正楷体_GBK" w:eastAsia="方正楷体_GBK" w:cs="方正楷体_GBK"/>
          <w:i w:val="0"/>
          <w:caps w:val="0"/>
          <w:color w:val="000000"/>
          <w:spacing w:val="0"/>
          <w:sz w:val="32"/>
          <w:szCs w:val="32"/>
          <w:shd w:val="clear" w:fill="FFFFFF"/>
        </w:rPr>
        <w:t>（五）主动公开政府信息的形式：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shd w:val="clear" w:fill="FFFFFF"/>
        </w:rPr>
        <w:t>我局本年度主要采用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新平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shd w:val="clear" w:fill="FFFFFF"/>
        </w:rPr>
        <w:t>县政府信息公开网站公开政务信息。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right="0" w:rightChars="0" w:firstLine="627" w:firstLineChars="196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i w:val="0"/>
          <w:caps w:val="0"/>
          <w:color w:val="000000"/>
          <w:spacing w:val="0"/>
          <w:sz w:val="32"/>
          <w:szCs w:val="32"/>
          <w:shd w:val="clear" w:fill="FFFFFF"/>
        </w:rPr>
        <w:t>（</w:t>
      </w:r>
      <w:r>
        <w:rPr>
          <w:rFonts w:hint="eastAsia" w:ascii="方正楷体_GBK" w:hAnsi="方正楷体_GBK" w:eastAsia="方正楷体_GBK" w:cs="方正楷体_GBK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六</w:t>
      </w:r>
      <w:r>
        <w:rPr>
          <w:rFonts w:hint="eastAsia" w:ascii="方正楷体_GBK" w:hAnsi="方正楷体_GBK" w:eastAsia="方正楷体_GBK" w:cs="方正楷体_GBK"/>
          <w:i w:val="0"/>
          <w:caps w:val="0"/>
          <w:color w:val="000000"/>
          <w:spacing w:val="0"/>
          <w:sz w:val="32"/>
          <w:szCs w:val="32"/>
          <w:shd w:val="clear" w:fill="FFFFFF"/>
        </w:rPr>
        <w:t>）</w:t>
      </w:r>
      <w:r>
        <w:rPr>
          <w:rFonts w:hint="eastAsia" w:ascii="方正楷体_GBK" w:hAnsi="方正楷体_GBK" w:eastAsia="方正楷体_GBK" w:cs="方正楷体_GBK"/>
          <w:sz w:val="32"/>
          <w:szCs w:val="32"/>
        </w:rPr>
        <w:t>因政府信息公开申请行政复议、提起行政诉讼的情况</w:t>
      </w: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2020年</w:t>
      </w: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我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sz w:val="32"/>
          <w:szCs w:val="32"/>
        </w:rPr>
        <w:t>局政府信息公开工作没有存在被行政复议的情况，也没有引发有关政府信息公开行政诉讼的案件发生。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8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shd w:val="clear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firstLine="42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二、主动公开政府信息情况</w:t>
      </w:r>
    </w:p>
    <w:tbl>
      <w:tblPr>
        <w:tblStyle w:val="3"/>
        <w:tblW w:w="8456" w:type="dxa"/>
        <w:jc w:val="center"/>
        <w:tblCellSpacing w:w="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711"/>
        <w:gridCol w:w="1915"/>
        <w:gridCol w:w="1915"/>
        <w:gridCol w:w="19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tblCellSpacing w:w="0" w:type="dxa"/>
          <w:jc w:val="center"/>
        </w:trPr>
        <w:tc>
          <w:tcPr>
            <w:tcW w:w="8456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firstLine="42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第二十条第（一）项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tblCellSpacing w:w="0" w:type="dxa"/>
          <w:jc w:val="center"/>
        </w:trPr>
        <w:tc>
          <w:tcPr>
            <w:tcW w:w="27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firstLine="42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信息内容</w:t>
            </w:r>
          </w:p>
        </w:tc>
        <w:tc>
          <w:tcPr>
            <w:tcW w:w="1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本年新制作数量</w:t>
            </w:r>
          </w:p>
        </w:tc>
        <w:tc>
          <w:tcPr>
            <w:tcW w:w="1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本年新公开数量</w:t>
            </w:r>
          </w:p>
        </w:tc>
        <w:tc>
          <w:tcPr>
            <w:tcW w:w="1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对外公开总数量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tblCellSpacing w:w="0" w:type="dxa"/>
          <w:jc w:val="center"/>
        </w:trPr>
        <w:tc>
          <w:tcPr>
            <w:tcW w:w="27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firstLine="420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规章</w:t>
            </w:r>
          </w:p>
        </w:tc>
        <w:tc>
          <w:tcPr>
            <w:tcW w:w="1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tblCellSpacing w:w="0" w:type="dxa"/>
          <w:jc w:val="center"/>
        </w:trPr>
        <w:tc>
          <w:tcPr>
            <w:tcW w:w="27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firstLine="420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规范性文件</w:t>
            </w:r>
          </w:p>
        </w:tc>
        <w:tc>
          <w:tcPr>
            <w:tcW w:w="1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tblCellSpacing w:w="0" w:type="dxa"/>
          <w:jc w:val="center"/>
        </w:trPr>
        <w:tc>
          <w:tcPr>
            <w:tcW w:w="8456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firstLine="42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第二十条第（五）项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tblCellSpacing w:w="0" w:type="dxa"/>
          <w:jc w:val="center"/>
        </w:trPr>
        <w:tc>
          <w:tcPr>
            <w:tcW w:w="27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firstLine="42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信息内容</w:t>
            </w:r>
          </w:p>
        </w:tc>
        <w:tc>
          <w:tcPr>
            <w:tcW w:w="1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上一年项目数量</w:t>
            </w:r>
          </w:p>
        </w:tc>
        <w:tc>
          <w:tcPr>
            <w:tcW w:w="1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firstLine="42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本年增/减</w:t>
            </w:r>
          </w:p>
        </w:tc>
        <w:tc>
          <w:tcPr>
            <w:tcW w:w="1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处理决定数量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tblCellSpacing w:w="0" w:type="dxa"/>
          <w:jc w:val="center"/>
        </w:trPr>
        <w:tc>
          <w:tcPr>
            <w:tcW w:w="27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firstLine="420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行政许可</w:t>
            </w:r>
          </w:p>
        </w:tc>
        <w:tc>
          <w:tcPr>
            <w:tcW w:w="1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tblCellSpacing w:w="0" w:type="dxa"/>
          <w:jc w:val="center"/>
        </w:trPr>
        <w:tc>
          <w:tcPr>
            <w:tcW w:w="27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其他对外管理服务事项</w:t>
            </w:r>
          </w:p>
        </w:tc>
        <w:tc>
          <w:tcPr>
            <w:tcW w:w="1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tblCellSpacing w:w="0" w:type="dxa"/>
          <w:jc w:val="center"/>
        </w:trPr>
        <w:tc>
          <w:tcPr>
            <w:tcW w:w="8456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firstLine="42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第二十条第（六）项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tblCellSpacing w:w="0" w:type="dxa"/>
          <w:jc w:val="center"/>
        </w:trPr>
        <w:tc>
          <w:tcPr>
            <w:tcW w:w="27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firstLine="42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信息内容</w:t>
            </w:r>
          </w:p>
        </w:tc>
        <w:tc>
          <w:tcPr>
            <w:tcW w:w="1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上一年项目数量</w:t>
            </w:r>
          </w:p>
        </w:tc>
        <w:tc>
          <w:tcPr>
            <w:tcW w:w="1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firstLine="42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本年增/减</w:t>
            </w:r>
          </w:p>
        </w:tc>
        <w:tc>
          <w:tcPr>
            <w:tcW w:w="1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处理决定数量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tblCellSpacing w:w="0" w:type="dxa"/>
          <w:jc w:val="center"/>
        </w:trPr>
        <w:tc>
          <w:tcPr>
            <w:tcW w:w="27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firstLine="420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行政处罚</w:t>
            </w:r>
          </w:p>
        </w:tc>
        <w:tc>
          <w:tcPr>
            <w:tcW w:w="1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tblCellSpacing w:w="0" w:type="dxa"/>
          <w:jc w:val="center"/>
        </w:trPr>
        <w:tc>
          <w:tcPr>
            <w:tcW w:w="27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firstLine="420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行政强制</w:t>
            </w:r>
          </w:p>
        </w:tc>
        <w:tc>
          <w:tcPr>
            <w:tcW w:w="1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tblCellSpacing w:w="0" w:type="dxa"/>
          <w:jc w:val="center"/>
        </w:trPr>
        <w:tc>
          <w:tcPr>
            <w:tcW w:w="8456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firstLine="42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第二十条第（八）项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tblCellSpacing w:w="0" w:type="dxa"/>
          <w:jc w:val="center"/>
        </w:trPr>
        <w:tc>
          <w:tcPr>
            <w:tcW w:w="27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firstLine="42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信息内容</w:t>
            </w:r>
          </w:p>
        </w:tc>
        <w:tc>
          <w:tcPr>
            <w:tcW w:w="1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上一年项目数量</w:t>
            </w:r>
          </w:p>
        </w:tc>
        <w:tc>
          <w:tcPr>
            <w:tcW w:w="3830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firstLine="42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本年增/减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tblCellSpacing w:w="0" w:type="dxa"/>
          <w:jc w:val="center"/>
        </w:trPr>
        <w:tc>
          <w:tcPr>
            <w:tcW w:w="27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firstLine="420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行政事业性收费</w:t>
            </w:r>
          </w:p>
        </w:tc>
        <w:tc>
          <w:tcPr>
            <w:tcW w:w="1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3830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tblCellSpacing w:w="0" w:type="dxa"/>
          <w:jc w:val="center"/>
        </w:trPr>
        <w:tc>
          <w:tcPr>
            <w:tcW w:w="8456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firstLine="42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第二十条第（九）项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tblCellSpacing w:w="0" w:type="dxa"/>
          <w:jc w:val="center"/>
        </w:trPr>
        <w:tc>
          <w:tcPr>
            <w:tcW w:w="27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firstLine="42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信息内容</w:t>
            </w:r>
          </w:p>
        </w:tc>
        <w:tc>
          <w:tcPr>
            <w:tcW w:w="1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采购项目数量</w:t>
            </w:r>
          </w:p>
        </w:tc>
        <w:tc>
          <w:tcPr>
            <w:tcW w:w="3830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firstLine="42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采购总金额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tblCellSpacing w:w="0" w:type="dxa"/>
          <w:jc w:val="center"/>
        </w:trPr>
        <w:tc>
          <w:tcPr>
            <w:tcW w:w="27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firstLine="420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政府集中采购</w:t>
            </w:r>
          </w:p>
        </w:tc>
        <w:tc>
          <w:tcPr>
            <w:tcW w:w="1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3830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firstLine="420"/>
        <w:textAlignment w:val="auto"/>
        <w:rPr>
          <w:rFonts w:hint="eastAsia" w:ascii="黑体" w:hAnsi="黑体" w:eastAsia="黑体" w:cs="黑体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textAlignment w:val="auto"/>
        <w:rPr>
          <w:rFonts w:hint="eastAsia" w:ascii="黑体" w:hAnsi="黑体" w:eastAsia="黑体" w:cs="黑体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firstLine="42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三、收到和处理政府信息公开申请情况</w:t>
      </w:r>
    </w:p>
    <w:tbl>
      <w:tblPr>
        <w:tblStyle w:val="3"/>
        <w:tblW w:w="8356" w:type="dxa"/>
        <w:tblCellSpacing w:w="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72"/>
        <w:gridCol w:w="892"/>
        <w:gridCol w:w="2249"/>
        <w:gridCol w:w="555"/>
        <w:gridCol w:w="675"/>
        <w:gridCol w:w="675"/>
        <w:gridCol w:w="725"/>
        <w:gridCol w:w="862"/>
        <w:gridCol w:w="637"/>
        <w:gridCol w:w="6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3613" w:type="dxa"/>
            <w:gridSpan w:val="3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（本列数据的勾稽关系为：第一项加第二项之和，等于第三项加第四项之和）</w:t>
            </w:r>
          </w:p>
        </w:tc>
        <w:tc>
          <w:tcPr>
            <w:tcW w:w="4743" w:type="dxa"/>
            <w:gridSpan w:val="7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firstLine="42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申请人情况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3613" w:type="dxa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55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自然人</w:t>
            </w:r>
          </w:p>
        </w:tc>
        <w:tc>
          <w:tcPr>
            <w:tcW w:w="3574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firstLine="42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法人或其他组织</w:t>
            </w:r>
          </w:p>
        </w:tc>
        <w:tc>
          <w:tcPr>
            <w:tcW w:w="614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3613" w:type="dxa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55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商业企业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科研机构</w:t>
            </w:r>
          </w:p>
        </w:tc>
        <w:tc>
          <w:tcPr>
            <w:tcW w:w="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社会公益组织</w:t>
            </w:r>
          </w:p>
        </w:tc>
        <w:tc>
          <w:tcPr>
            <w:tcW w:w="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法律服务机构</w:t>
            </w:r>
          </w:p>
        </w:tc>
        <w:tc>
          <w:tcPr>
            <w:tcW w:w="6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其他</w:t>
            </w:r>
          </w:p>
        </w:tc>
        <w:tc>
          <w:tcPr>
            <w:tcW w:w="61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3613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一、本年新收政府信息公开申请数量</w:t>
            </w:r>
          </w:p>
        </w:tc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6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6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3613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二、上年结转政府信息公开申请数量</w:t>
            </w:r>
          </w:p>
        </w:tc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6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6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472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三、本年度办理结果</w:t>
            </w:r>
          </w:p>
        </w:tc>
        <w:tc>
          <w:tcPr>
            <w:tcW w:w="3141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firstLine="42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（一）予以公开</w:t>
            </w:r>
          </w:p>
        </w:tc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6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6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47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3141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firstLine="42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（二）部分公开（区分处理的，只计这一情形，不计其他情形）</w:t>
            </w:r>
          </w:p>
        </w:tc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6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6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47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892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（三）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不予公开</w:t>
            </w: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1.属于国家秘密</w:t>
            </w:r>
          </w:p>
        </w:tc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6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6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47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89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2.其他法律行政法规禁止公开</w:t>
            </w:r>
          </w:p>
        </w:tc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6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6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47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89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3.危及“三安全一稳定”</w:t>
            </w:r>
          </w:p>
        </w:tc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6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6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47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89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4.保护第三方合法权益</w:t>
            </w:r>
          </w:p>
        </w:tc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6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6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47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89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5.属于三类内部事务信息</w:t>
            </w:r>
          </w:p>
        </w:tc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6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6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47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89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6.属于四类过程性信息</w:t>
            </w:r>
          </w:p>
        </w:tc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6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6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47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89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7.属于行政执法案卷</w:t>
            </w:r>
          </w:p>
        </w:tc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6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6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47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89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8.属于行政查询事项</w:t>
            </w:r>
          </w:p>
        </w:tc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6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6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47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892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（四）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无法提供</w:t>
            </w: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1.本机关不掌握相关政府信息</w:t>
            </w:r>
          </w:p>
        </w:tc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6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6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47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89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2.没有现成信息需要另行制作</w:t>
            </w:r>
          </w:p>
        </w:tc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6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6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47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89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3.补正后申请内容仍不明确</w:t>
            </w:r>
          </w:p>
        </w:tc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6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6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47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892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（五）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不予处理</w:t>
            </w: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1.信访举报投诉类申请</w:t>
            </w:r>
          </w:p>
        </w:tc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6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6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47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89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2.重复申请</w:t>
            </w:r>
          </w:p>
        </w:tc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6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6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47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89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3.要求提供公开出版物</w:t>
            </w:r>
          </w:p>
        </w:tc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6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6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47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89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4.无正当理由大量反复申请</w:t>
            </w:r>
          </w:p>
        </w:tc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6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6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47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89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5.要求行政机关确认或重新出具已获取信息</w:t>
            </w:r>
          </w:p>
        </w:tc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6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6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47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3141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firstLine="42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（六）其他处理</w:t>
            </w:r>
          </w:p>
        </w:tc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6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6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47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3141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firstLine="42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（七）总计</w:t>
            </w:r>
          </w:p>
        </w:tc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6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6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3613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firstLine="42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四、结转下年度继续办理</w:t>
            </w:r>
          </w:p>
        </w:tc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6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6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0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firstLine="420"/>
        <w:textAlignment w:val="auto"/>
        <w:rPr>
          <w:rFonts w:hint="eastAsia" w:ascii="黑体" w:hAnsi="黑体" w:eastAsia="黑体" w:cs="黑体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firstLine="42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四、政府信息公开行政复议、行政诉讼情况</w:t>
      </w:r>
    </w:p>
    <w:tbl>
      <w:tblPr>
        <w:tblStyle w:val="3"/>
        <w:tblW w:w="9039" w:type="dxa"/>
        <w:jc w:val="center"/>
        <w:tblCellSpacing w:w="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02"/>
        <w:gridCol w:w="602"/>
        <w:gridCol w:w="602"/>
        <w:gridCol w:w="602"/>
        <w:gridCol w:w="602"/>
        <w:gridCol w:w="602"/>
        <w:gridCol w:w="603"/>
        <w:gridCol w:w="603"/>
        <w:gridCol w:w="603"/>
        <w:gridCol w:w="603"/>
        <w:gridCol w:w="603"/>
        <w:gridCol w:w="603"/>
        <w:gridCol w:w="603"/>
        <w:gridCol w:w="603"/>
        <w:gridCol w:w="6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9" w:hRule="atLeast"/>
          <w:tblCellSpacing w:w="0" w:type="dxa"/>
          <w:jc w:val="center"/>
        </w:trPr>
        <w:tc>
          <w:tcPr>
            <w:tcW w:w="3010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firstLine="42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行政复议</w:t>
            </w:r>
          </w:p>
        </w:tc>
        <w:tc>
          <w:tcPr>
            <w:tcW w:w="6029" w:type="dxa"/>
            <w:gridSpan w:val="10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firstLine="42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行政诉讼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9" w:hRule="atLeast"/>
          <w:tblCellSpacing w:w="0" w:type="dxa"/>
          <w:jc w:val="center"/>
        </w:trPr>
        <w:tc>
          <w:tcPr>
            <w:tcW w:w="602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结果维持</w:t>
            </w:r>
          </w:p>
        </w:tc>
        <w:tc>
          <w:tcPr>
            <w:tcW w:w="602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结果纠正</w:t>
            </w:r>
          </w:p>
        </w:tc>
        <w:tc>
          <w:tcPr>
            <w:tcW w:w="602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其他结果</w:t>
            </w:r>
          </w:p>
        </w:tc>
        <w:tc>
          <w:tcPr>
            <w:tcW w:w="602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尚未审结</w:t>
            </w:r>
          </w:p>
        </w:tc>
        <w:tc>
          <w:tcPr>
            <w:tcW w:w="602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总计</w:t>
            </w:r>
          </w:p>
        </w:tc>
        <w:tc>
          <w:tcPr>
            <w:tcW w:w="3014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firstLine="42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未经复议直接起诉</w:t>
            </w:r>
          </w:p>
        </w:tc>
        <w:tc>
          <w:tcPr>
            <w:tcW w:w="3015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firstLine="42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复议后起诉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53" w:hRule="atLeast"/>
          <w:tblCellSpacing w:w="0" w:type="dxa"/>
          <w:jc w:val="center"/>
        </w:trPr>
        <w:tc>
          <w:tcPr>
            <w:tcW w:w="60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60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60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60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60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6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lang w:eastAsia="zh-CN"/>
              </w:rPr>
              <w:t>结果维持</w:t>
            </w:r>
          </w:p>
        </w:tc>
        <w:tc>
          <w:tcPr>
            <w:tcW w:w="6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结果纠正</w:t>
            </w:r>
          </w:p>
        </w:tc>
        <w:tc>
          <w:tcPr>
            <w:tcW w:w="6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其他结果</w:t>
            </w:r>
          </w:p>
        </w:tc>
        <w:tc>
          <w:tcPr>
            <w:tcW w:w="6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尚未审结</w:t>
            </w:r>
          </w:p>
        </w:tc>
        <w:tc>
          <w:tcPr>
            <w:tcW w:w="6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总计</w:t>
            </w:r>
          </w:p>
        </w:tc>
        <w:tc>
          <w:tcPr>
            <w:tcW w:w="6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结果维持</w:t>
            </w:r>
          </w:p>
        </w:tc>
        <w:tc>
          <w:tcPr>
            <w:tcW w:w="6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结果纠正</w:t>
            </w:r>
          </w:p>
        </w:tc>
        <w:tc>
          <w:tcPr>
            <w:tcW w:w="6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其他结果</w:t>
            </w:r>
          </w:p>
        </w:tc>
        <w:tc>
          <w:tcPr>
            <w:tcW w:w="6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尚未审结</w:t>
            </w:r>
          </w:p>
        </w:tc>
        <w:tc>
          <w:tcPr>
            <w:tcW w:w="6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9" w:hRule="atLeast"/>
          <w:tblCellSpacing w:w="0" w:type="dxa"/>
          <w:jc w:val="center"/>
        </w:trPr>
        <w:tc>
          <w:tcPr>
            <w:tcW w:w="6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6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6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6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6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6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6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6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6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6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6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6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6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jc w:val="left"/>
        <w:textAlignment w:val="auto"/>
        <w:rPr>
          <w:rFonts w:hint="eastAsia" w:ascii="仿宋" w:hAnsi="仿宋" w:eastAsia="仿宋" w:cs="仿宋"/>
          <w:sz w:val="24"/>
          <w:szCs w:val="24"/>
          <w:lang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firstLine="42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五、存在的主要问题及改进情况</w:t>
      </w:r>
    </w:p>
    <w:p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2020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，新平县审计局政府信息公开工作在深化政府信息公开内容、完善配套制度、加强基础性工作等方面取得了新的进展，但主动公开政府信息内容与公众的需求还存在一些差距，公开的便民性需进一步提高。今后，主要从以下几个方面进一步改进：</w:t>
      </w:r>
    </w:p>
    <w:p>
      <w:pPr>
        <w:ind w:firstLine="622" w:firstLineChars="20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Style w:val="5"/>
          <w:rFonts w:hint="eastAsia" w:ascii="方正仿宋_GBK" w:hAnsi="方正仿宋_GBK" w:eastAsia="方正仿宋_GBK" w:cs="方正仿宋_GBK"/>
          <w:b/>
          <w:i w:val="0"/>
          <w:caps w:val="0"/>
          <w:color w:val="000000"/>
          <w:spacing w:val="0"/>
          <w:sz w:val="31"/>
          <w:szCs w:val="31"/>
          <w:shd w:val="clear" w:fill="FFFFFF"/>
        </w:rPr>
        <w:t>一是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  <w:shd w:val="clear" w:fill="FFFFFF"/>
        </w:rPr>
        <w:t>进一步丰富发布的信息种类，不断充实信息公开的内容，加强对我局的重点工作部署、重要会议精神等工作动态及时公开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  <w:shd w:val="clear" w:fill="FFFFFF"/>
          <w:lang w:eastAsia="zh-CN"/>
        </w:rPr>
        <w:t>；</w:t>
      </w:r>
      <w:r>
        <w:rPr>
          <w:rStyle w:val="5"/>
          <w:rFonts w:hint="eastAsia" w:ascii="方正仿宋_GBK" w:hAnsi="方正仿宋_GBK" w:eastAsia="方正仿宋_GBK" w:cs="方正仿宋_GBK"/>
          <w:b/>
          <w:i w:val="0"/>
          <w:caps w:val="0"/>
          <w:color w:val="000000"/>
          <w:spacing w:val="0"/>
          <w:sz w:val="31"/>
          <w:szCs w:val="31"/>
          <w:shd w:val="clear" w:fill="FFFFFF"/>
        </w:rPr>
        <w:t>二是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  <w:shd w:val="clear" w:fill="FFFFFF"/>
        </w:rPr>
        <w:t>全体干部职工应加强对政府信息工作相关规定的学习，提高思想认识，牢固掌握政府信息公开的相关工作要求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  <w:shd w:val="clear" w:fill="FFFFFF"/>
          <w:lang w:eastAsia="zh-CN"/>
        </w:rPr>
        <w:t>；</w:t>
      </w:r>
      <w:r>
        <w:rPr>
          <w:rStyle w:val="5"/>
          <w:rFonts w:hint="eastAsia" w:ascii="方正仿宋_GBK" w:hAnsi="方正仿宋_GBK" w:eastAsia="方正仿宋_GBK" w:cs="方正仿宋_GBK"/>
          <w:b/>
          <w:i w:val="0"/>
          <w:caps w:val="0"/>
          <w:color w:val="000000"/>
          <w:spacing w:val="0"/>
          <w:sz w:val="31"/>
          <w:szCs w:val="31"/>
          <w:shd w:val="clear" w:fill="FFFFFF"/>
        </w:rPr>
        <w:t>三是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  <w:shd w:val="clear" w:fill="FFFFFF"/>
        </w:rPr>
        <w:t>应明确信息公开的范围、内容、形式，把群众最关心、最需要了解的事项作为重点，不断加大信息公开力度。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六、其他需要报告的事项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无  </w:t>
      </w:r>
    </w:p>
    <w:p/>
    <w:sectPr>
      <w:pgSz w:w="11906" w:h="16838"/>
      <w:pgMar w:top="1440" w:right="1800" w:bottom="1440" w:left="1800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8D78C9"/>
    <w:rsid w:val="0B212201"/>
    <w:rsid w:val="0B886735"/>
    <w:rsid w:val="12F15FDB"/>
    <w:rsid w:val="181635BD"/>
    <w:rsid w:val="191F7499"/>
    <w:rsid w:val="1CEC72D5"/>
    <w:rsid w:val="257F7CDD"/>
    <w:rsid w:val="258E4750"/>
    <w:rsid w:val="290A355D"/>
    <w:rsid w:val="2B846E90"/>
    <w:rsid w:val="2C2002DA"/>
    <w:rsid w:val="2D717A72"/>
    <w:rsid w:val="2F323C77"/>
    <w:rsid w:val="346A201C"/>
    <w:rsid w:val="388D78C9"/>
    <w:rsid w:val="38BC7A99"/>
    <w:rsid w:val="3B120673"/>
    <w:rsid w:val="3CAE1C91"/>
    <w:rsid w:val="3E2B48F6"/>
    <w:rsid w:val="4A5F70E3"/>
    <w:rsid w:val="4FE81260"/>
    <w:rsid w:val="50401572"/>
    <w:rsid w:val="52C37C0E"/>
    <w:rsid w:val="5A7A6D69"/>
    <w:rsid w:val="5E6A58DC"/>
    <w:rsid w:val="60AC584C"/>
    <w:rsid w:val="67476658"/>
    <w:rsid w:val="74F951B7"/>
    <w:rsid w:val="7985214E"/>
    <w:rsid w:val="79DD26A4"/>
    <w:rsid w:val="7AE0410E"/>
    <w:rsid w:val="7DE81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2020-01-06T00:04:00Z</dcterms:created>
  <dc:creator>午夜阳光1390285921</dc:creator>
  <cp:lastModifiedBy>Administrator</cp:lastModifiedBy>
  <dcterms:modified xsi:type="dcterms:W3CDTF">2021-01-22T08:29:49Z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