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36"/>
          <w:szCs w:val="36"/>
          <w:u w:val="none"/>
        </w:rPr>
      </w:pPr>
      <w:r>
        <w:rPr>
          <w:rFonts w:eastAsia="方正小标宋_GBK"/>
          <w:sz w:val="40"/>
          <w:szCs w:val="40"/>
          <w:u w:val="none"/>
        </w:rPr>
        <w:t>市场准入负面清单</w:t>
      </w:r>
    </w:p>
    <w:p>
      <w:pPr>
        <w:jc w:val="center"/>
        <w:outlineLvl w:val="0"/>
        <w:rPr>
          <w:rFonts w:eastAsia="楷体_GB2312"/>
          <w:sz w:val="28"/>
          <w:szCs w:val="36"/>
          <w:u w:val="none"/>
        </w:rPr>
      </w:pPr>
      <w:r>
        <w:rPr>
          <w:rFonts w:eastAsia="楷体_GB2312"/>
          <w:sz w:val="28"/>
          <w:szCs w:val="36"/>
          <w:u w:val="none"/>
        </w:rPr>
        <w:t>（20</w:t>
      </w:r>
      <w:r>
        <w:rPr>
          <w:rFonts w:hint="eastAsia" w:eastAsia="楷体_GB2312"/>
          <w:sz w:val="28"/>
          <w:szCs w:val="36"/>
          <w:u w:val="none"/>
          <w:lang w:val="en-US" w:eastAsia="zh-CN"/>
        </w:rPr>
        <w:t>20</w:t>
      </w:r>
      <w:r>
        <w:rPr>
          <w:rFonts w:eastAsia="楷体_GB2312"/>
          <w:sz w:val="28"/>
          <w:szCs w:val="36"/>
          <w:u w:val="none"/>
        </w:rPr>
        <w:t>年版）</w:t>
      </w:r>
    </w:p>
    <w:p>
      <w:pPr>
        <w:jc w:val="center"/>
        <w:rPr>
          <w:rFonts w:eastAsia="楷体_GB2312"/>
          <w:sz w:val="28"/>
          <w:szCs w:val="36"/>
          <w:u w:val="none"/>
        </w:rPr>
      </w:pPr>
    </w:p>
    <w:p>
      <w:pPr>
        <w:jc w:val="center"/>
        <w:rPr>
          <w:rFonts w:eastAsia="楷体_GB2312"/>
          <w:sz w:val="32"/>
          <w:szCs w:val="36"/>
          <w:u w:val="none"/>
        </w:rPr>
      </w:pPr>
      <w:r>
        <w:rPr>
          <w:rFonts w:eastAsia="方正黑体_GBK"/>
          <w:sz w:val="32"/>
          <w:szCs w:val="30"/>
          <w:u w:val="none"/>
        </w:rPr>
        <w:t>说    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szCs w:val="30"/>
          <w:u w:val="none"/>
        </w:rPr>
      </w:pPr>
      <w:r>
        <w:rPr>
          <w:szCs w:val="30"/>
          <w:u w:val="none"/>
        </w:rPr>
        <w:t>一、《市场准入负面清单（20</w:t>
      </w:r>
      <w:r>
        <w:rPr>
          <w:rFonts w:hint="eastAsia"/>
          <w:szCs w:val="30"/>
          <w:u w:val="none"/>
          <w:lang w:val="en-US" w:eastAsia="zh-CN"/>
        </w:rPr>
        <w:t>20</w:t>
      </w:r>
      <w:r>
        <w:rPr>
          <w:szCs w:val="30"/>
          <w:u w:val="none"/>
        </w:rPr>
        <w:t>年版）》</w:t>
      </w:r>
      <w:bookmarkStart w:id="0" w:name="_GoBack"/>
      <w:r>
        <w:rPr>
          <w:b/>
          <w:bCs/>
          <w:color w:val="FF0000"/>
          <w:szCs w:val="30"/>
          <w:u w:val="none"/>
        </w:rPr>
        <w:t>包含禁止和许可两类事项</w:t>
      </w:r>
      <w:bookmarkEnd w:id="0"/>
      <w:r>
        <w:rPr>
          <w:szCs w:val="30"/>
          <w:u w:val="none"/>
        </w:rPr>
        <w:t>。对禁止准入事项，市场主体不得进入，行政机关不予审批、核准，不得办理有关手续；对许可准入事项，包括有关资格的要求和程序、技术标准和许可要求等，由市场主体提出申请，行政机关依法依规作出是否予以准入的决定</w:t>
      </w:r>
      <w:r>
        <w:rPr>
          <w:rFonts w:hint="eastAsia"/>
          <w:szCs w:val="30"/>
          <w:u w:val="none"/>
          <w:lang w:eastAsia="zh-CN"/>
        </w:rPr>
        <w:t>，</w:t>
      </w:r>
      <w:r>
        <w:rPr>
          <w:rFonts w:hint="default" w:ascii="Times New Roman" w:hAnsi="Times New Roman" w:eastAsia="方正仿宋_GBK" w:cs="Times New Roman"/>
          <w:sz w:val="30"/>
          <w:szCs w:val="30"/>
          <w:u w:val="none"/>
          <w:lang w:val="en-US" w:eastAsia="zh-CN"/>
        </w:rPr>
        <w:t>或由市场主体依照政府规定的准入条件和准入方式合规进入</w:t>
      </w:r>
      <w:r>
        <w:rPr>
          <w:szCs w:val="30"/>
          <w:u w:val="none"/>
        </w:rPr>
        <w:t>；</w:t>
      </w:r>
      <w:r>
        <w:rPr>
          <w:color w:val="FF0000"/>
          <w:szCs w:val="30"/>
          <w:u w:val="none"/>
        </w:rPr>
        <w:t>对市场准入负面清单以外的行业、领域、业务等，各类市场主体皆可依法平等进入。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rFonts w:hint="eastAsia" w:eastAsia="方正仿宋_GBK"/>
          <w:szCs w:val="30"/>
          <w:u w:val="none"/>
          <w:lang w:eastAsia="zh-CN"/>
        </w:rPr>
      </w:pPr>
      <w:r>
        <w:rPr>
          <w:szCs w:val="30"/>
          <w:u w:val="none"/>
        </w:rPr>
        <w:t>二、针对非投资经营活动的管理措施、准入后管理措施、备案类管理措施（含注册、登记）、职业资格类管理措施、只针对境外市场主体的管理措施以及针对</w:t>
      </w:r>
      <w:r>
        <w:rPr>
          <w:rFonts w:hint="eastAsia"/>
          <w:szCs w:val="30"/>
          <w:highlight w:val="none"/>
          <w:u w:val="none"/>
          <w:lang w:eastAsia="zh-CN"/>
        </w:rPr>
        <w:t>生态保护红线、自然保护地、</w:t>
      </w:r>
      <w:r>
        <w:rPr>
          <w:szCs w:val="30"/>
          <w:u w:val="none"/>
        </w:rPr>
        <w:t>饮用水水源保护区等特定地理区域、空间的管理措施等不列入市场准入负面清单，从其相关规定。法律、法规、国务院决定等明确设立，且与市场准入相关的禁止性规定，在清单附件中列出，以便市场主体参考。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szCs w:val="30"/>
          <w:u w:val="none"/>
        </w:rPr>
      </w:pPr>
      <w:r>
        <w:rPr>
          <w:szCs w:val="30"/>
          <w:u w:val="none"/>
        </w:rPr>
        <w:t>三、列入清单的市场准入管理措施，由法律、行政法规、国务院决定或地方性法规设定，省级人民政府规章可设定临时性市场准入管理措施。个别设立依据</w:t>
      </w:r>
      <w:r>
        <w:rPr>
          <w:strike w:val="0"/>
          <w:dstrike w:val="0"/>
          <w:szCs w:val="30"/>
          <w:u w:val="none"/>
        </w:rPr>
        <w:t>效力层级</w:t>
      </w:r>
      <w:r>
        <w:rPr>
          <w:szCs w:val="30"/>
          <w:u w:val="none"/>
        </w:rPr>
        <w:t>不足且确需暂时列入清单的管理措施，应尽快完善立法程序，并以加★形式在清单中标明。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rFonts w:hint="eastAsia"/>
          <w:strike/>
          <w:dstrike w:val="0"/>
          <w:szCs w:val="30"/>
          <w:u w:val="none"/>
        </w:rPr>
      </w:pPr>
      <w:r>
        <w:rPr>
          <w:szCs w:val="30"/>
          <w:u w:val="none"/>
        </w:rPr>
        <w:t>四、</w:t>
      </w:r>
      <w:r>
        <w:rPr>
          <w:b/>
          <w:bCs/>
          <w:color w:val="FF0000"/>
          <w:szCs w:val="30"/>
          <w:u w:val="none"/>
        </w:rPr>
        <w:t>《产业结构调整指导目录》《政府核准的投资项目目录》</w:t>
      </w:r>
      <w:r>
        <w:rPr>
          <w:rFonts w:hint="eastAsia"/>
          <w:b/>
          <w:bCs/>
          <w:color w:val="FF0000"/>
          <w:szCs w:val="30"/>
          <w:u w:val="none"/>
          <w:lang w:eastAsia="zh-CN"/>
        </w:rPr>
        <w:t>纳入市场准入负面清单，地方对两个目录有细化规定的，从其规定。</w:t>
      </w:r>
      <w:r>
        <w:rPr>
          <w:rFonts w:hint="eastAsia"/>
          <w:szCs w:val="30"/>
          <w:u w:val="none"/>
        </w:rPr>
        <w:t>地方国家重点生态功能区和农产品主产区产业准入负面清单（或禁止限制目录）</w:t>
      </w:r>
      <w:r>
        <w:rPr>
          <w:rFonts w:hint="eastAsia"/>
          <w:strike w:val="0"/>
          <w:dstrike w:val="0"/>
          <w:szCs w:val="30"/>
          <w:u w:val="none"/>
          <w:lang w:eastAsia="zh-CN"/>
        </w:rPr>
        <w:t>及</w:t>
      </w:r>
      <w:r>
        <w:rPr>
          <w:rFonts w:hint="eastAsia" w:ascii="方正仿宋_GBK" w:hAnsi="方正仿宋_GBK" w:cs="方正仿宋_GBK"/>
          <w:strike w:val="0"/>
          <w:dstrike w:val="0"/>
          <w:szCs w:val="30"/>
          <w:u w:val="none"/>
        </w:rPr>
        <w:t>地方按照</w:t>
      </w:r>
      <w:r>
        <w:rPr>
          <w:rFonts w:hint="eastAsia" w:ascii="方正仿宋_GBK" w:hAnsi="方正仿宋_GBK" w:cs="方正仿宋_GBK"/>
          <w:szCs w:val="30"/>
          <w:u w:val="none"/>
        </w:rPr>
        <w:t>党中央、国务院要求制定的地方性产业结构禁止准入目录，统一纳入市场准入负面清单</w:t>
      </w:r>
      <w:r>
        <w:rPr>
          <w:szCs w:val="30"/>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rFonts w:hint="eastAsia"/>
          <w:strike/>
          <w:dstrike w:val="0"/>
          <w:szCs w:val="30"/>
          <w:u w:val="none"/>
        </w:rPr>
      </w:pPr>
      <w:r>
        <w:rPr>
          <w:szCs w:val="30"/>
          <w:u w:val="none"/>
        </w:rPr>
        <w:t>五、各地区、各部门不得</w:t>
      </w:r>
      <w:r>
        <w:rPr>
          <w:rFonts w:hint="eastAsia"/>
          <w:strike w:val="0"/>
          <w:dstrike w:val="0"/>
          <w:szCs w:val="30"/>
          <w:u w:val="none"/>
          <w:lang w:eastAsia="zh-CN"/>
        </w:rPr>
        <w:t>另行制定</w:t>
      </w:r>
      <w:r>
        <w:rPr>
          <w:szCs w:val="30"/>
          <w:u w:val="none"/>
        </w:rPr>
        <w:t>市场准入性质的负面清单。因特殊原因需采取临时性准入管理措施的，经国务院同意，可实时列入清单。</w:t>
      </w:r>
    </w:p>
    <w:p>
      <w:pPr>
        <w:keepNext w:val="0"/>
        <w:keepLines w:val="0"/>
        <w:pageBreakBefore w:val="0"/>
        <w:widowControl w:val="0"/>
        <w:kinsoku/>
        <w:wordWrap/>
        <w:overflowPunct/>
        <w:topLinePunct w:val="0"/>
        <w:autoSpaceDE/>
        <w:autoSpaceDN/>
        <w:bidi w:val="0"/>
        <w:adjustRightInd/>
        <w:snapToGrid/>
        <w:spacing w:line="560" w:lineRule="exact"/>
        <w:ind w:firstLine="570" w:firstLineChars="190"/>
        <w:textAlignment w:val="center"/>
        <w:rPr>
          <w:szCs w:val="30"/>
          <w:u w:val="none"/>
        </w:rPr>
      </w:pPr>
      <w:r>
        <w:rPr>
          <w:szCs w:val="30"/>
          <w:u w:val="none"/>
        </w:rPr>
        <w:t>六、我国参加的国际公约、与其他国家签署的双多边条约、与港澳台地区达成的相关安排等另有规定的，按照相关规定执行。涉及跨界河流水资源配置调整的重大水利项目和水电站、跨境电网工程、跨境输气管网等跨境事项，</w:t>
      </w:r>
      <w:r>
        <w:rPr>
          <w:rFonts w:hint="eastAsia"/>
          <w:szCs w:val="30"/>
          <w:u w:val="none"/>
          <w:lang w:eastAsia="zh-CN"/>
        </w:rPr>
        <w:t>以及涉界河工程、涉外海洋科考，</w:t>
      </w:r>
      <w:r>
        <w:rPr>
          <w:szCs w:val="30"/>
          <w:u w:val="none"/>
        </w:rPr>
        <w:t>应征求外事部门意见。</w:t>
      </w:r>
    </w:p>
    <w:p>
      <w:pPr>
        <w:keepNext w:val="0"/>
        <w:keepLines w:val="0"/>
        <w:pageBreakBefore w:val="0"/>
        <w:widowControl w:val="0"/>
        <w:kinsoku/>
        <w:wordWrap/>
        <w:overflowPunct/>
        <w:topLinePunct w:val="0"/>
        <w:autoSpaceDE/>
        <w:autoSpaceDN/>
        <w:bidi w:val="0"/>
        <w:adjustRightInd/>
        <w:snapToGrid/>
        <w:spacing w:line="560" w:lineRule="exact"/>
        <w:ind w:firstLine="570" w:firstLineChars="190"/>
        <w:textAlignment w:val="center"/>
        <w:rPr>
          <w:szCs w:val="30"/>
          <w:u w:val="none"/>
        </w:rPr>
      </w:pPr>
      <w:r>
        <w:rPr>
          <w:szCs w:val="30"/>
          <w:u w:val="none"/>
        </w:rPr>
        <w:t>七、为保护公共道德，维护公共利益，有关部门依法履行对文化领域和与文化相关新产业的市场准入政策调整和规制的责任。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szCs w:val="30"/>
          <w:u w:val="none"/>
        </w:rPr>
      </w:pPr>
      <w:r>
        <w:rPr>
          <w:szCs w:val="30"/>
          <w:u w:val="none"/>
        </w:rPr>
        <w:t>八、市场准入负面清单未直接列出的地方对市场准入事项的具体实施性措施且法律依据充分的，按其规定执行。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rFonts w:hint="eastAsia" w:eastAsia="方正仿宋_GBK"/>
          <w:szCs w:val="30"/>
          <w:u w:val="none"/>
          <w:lang w:eastAsia="zh-CN"/>
        </w:rPr>
      </w:pPr>
      <w:r>
        <w:rPr>
          <w:rFonts w:hint="eastAsia"/>
          <w:szCs w:val="30"/>
          <w:u w:val="none"/>
          <w:lang w:eastAsia="zh-CN"/>
        </w:rPr>
        <w:t>九、市场主体</w:t>
      </w:r>
      <w:r>
        <w:rPr>
          <w:rFonts w:hint="eastAsia"/>
          <w:szCs w:val="30"/>
          <w:u w:val="none"/>
        </w:rPr>
        <w:t>以告知承诺方式获得许可但未践行信用承诺，</w:t>
      </w:r>
      <w:r>
        <w:rPr>
          <w:rFonts w:hint="eastAsia"/>
          <w:szCs w:val="30"/>
          <w:u w:val="none"/>
          <w:lang w:eastAsia="zh-CN"/>
        </w:rPr>
        <w:t>撤销原发放许可</w:t>
      </w:r>
      <w:r>
        <w:rPr>
          <w:rFonts w:hint="default"/>
          <w:szCs w:val="30"/>
          <w:u w:val="none"/>
          <w:lang w:val="en-US" w:eastAsia="zh-CN"/>
        </w:rPr>
        <w:t>并</w:t>
      </w:r>
      <w:r>
        <w:rPr>
          <w:rFonts w:hint="eastAsia"/>
          <w:szCs w:val="30"/>
          <w:u w:val="none"/>
          <w:lang w:val="en-US" w:eastAsia="zh-CN"/>
        </w:rPr>
        <w:t>视情节依法依规实施失信惩戒</w:t>
      </w:r>
      <w:r>
        <w:rPr>
          <w:rFonts w:hint="eastAsia"/>
          <w:szCs w:val="30"/>
          <w:u w:val="none"/>
          <w:lang w:eastAsia="zh-CN"/>
        </w:rPr>
        <w:t>。对拒不履行司法裁判或行政处罚决定、屡犯不改、造成重大损失的市场主体及其相关责任人，依法依规在一定期限内实施市场和行业禁入措施。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center"/>
        <w:rPr>
          <w:rFonts w:hint="eastAsia"/>
          <w:szCs w:val="30"/>
          <w:u w:val="none"/>
          <w:lang w:eastAsia="zh-CN"/>
        </w:rPr>
      </w:pPr>
      <w:r>
        <w:rPr>
          <w:rFonts w:hint="eastAsia"/>
          <w:szCs w:val="30"/>
          <w:u w:val="none"/>
          <w:lang w:eastAsia="zh-CN"/>
        </w:rPr>
        <w:t>十</w:t>
      </w:r>
      <w:r>
        <w:rPr>
          <w:szCs w:val="30"/>
          <w:u w:val="none"/>
        </w:rPr>
        <w:t>、本清单由国家发展改革委、商务部</w:t>
      </w:r>
      <w:r>
        <w:rPr>
          <w:rFonts w:hint="eastAsia"/>
          <w:szCs w:val="30"/>
          <w:u w:val="none"/>
        </w:rPr>
        <w:t>会同有关部门</w:t>
      </w:r>
      <w:r>
        <w:rPr>
          <w:szCs w:val="30"/>
          <w:u w:val="none"/>
        </w:rPr>
        <w:t>负责解释。</w:t>
      </w:r>
    </w:p>
    <w:sectPr>
      <w:headerReference r:id="rId3" w:type="default"/>
      <w:footerReference r:id="rId5" w:type="default"/>
      <w:headerReference r:id="rId4" w:type="even"/>
      <w:footerReference r:id="rId6" w:type="even"/>
      <w:pgSz w:w="11906" w:h="16838"/>
      <w:pgMar w:top="1984" w:right="1616" w:bottom="1814" w:left="1616" w:header="851" w:footer="1474" w:gutter="0"/>
      <w:pgNumType w:fmt="decimal" w:start="3"/>
      <w:cols w:space="720" w:num="1"/>
      <w:docGrid w:type="lines" w:linePitch="5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eastAsia="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70n/TAAAABwEAAA8AAAAAAAAAAQAg&#10;AAAAIgAAAGRycy9kb3ducmV2LnhtbFBLAQIUABQAAAAIAIdO4kAF3HKwEwIAABMEAAAOAAAAAAAA&#10;AAEAIAAAACIBAABkcnMvZTJvRG9jLnhtbFBLBQYAAAAABgAGAFkBAACnBQAAAAA=&#10;">
              <v:fill on="f" focussize="0,0"/>
              <v:stroke on="f" weight="0.5pt"/>
              <v:imagedata o:title=""/>
              <o:lock v:ext="edit" aspectratio="f"/>
              <v:textbox inset="0mm,0mm,0mm,0mm" style="mso-fit-shape-to-text:t;">
                <w:txbxContent>
                  <w:p>
                    <w:pPr>
                      <w:pStyle w:val="8"/>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HorizontalSpacing w:val="150"/>
  <w:drawingGridVerticalSpacing w:val="294"/>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A6ECB"/>
    <w:rsid w:val="002B76A8"/>
    <w:rsid w:val="002E6353"/>
    <w:rsid w:val="00301315"/>
    <w:rsid w:val="00314136"/>
    <w:rsid w:val="00332AD0"/>
    <w:rsid w:val="0037723D"/>
    <w:rsid w:val="00380DBC"/>
    <w:rsid w:val="00384B71"/>
    <w:rsid w:val="003942BE"/>
    <w:rsid w:val="003976BE"/>
    <w:rsid w:val="003A1A8F"/>
    <w:rsid w:val="003B300A"/>
    <w:rsid w:val="00400C14"/>
    <w:rsid w:val="00400F9F"/>
    <w:rsid w:val="004104BD"/>
    <w:rsid w:val="004113EE"/>
    <w:rsid w:val="00497D70"/>
    <w:rsid w:val="004D11F3"/>
    <w:rsid w:val="004D6D93"/>
    <w:rsid w:val="004E6BFC"/>
    <w:rsid w:val="00531704"/>
    <w:rsid w:val="00540090"/>
    <w:rsid w:val="00541A72"/>
    <w:rsid w:val="00545376"/>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51DAD"/>
    <w:rsid w:val="00676EC4"/>
    <w:rsid w:val="00686061"/>
    <w:rsid w:val="006E7FE6"/>
    <w:rsid w:val="00705A05"/>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4173F"/>
    <w:rsid w:val="00945B2F"/>
    <w:rsid w:val="00970C7B"/>
    <w:rsid w:val="00971DF7"/>
    <w:rsid w:val="00976AA4"/>
    <w:rsid w:val="009920FB"/>
    <w:rsid w:val="009B5FA6"/>
    <w:rsid w:val="009B6C15"/>
    <w:rsid w:val="009D0B84"/>
    <w:rsid w:val="009F43C0"/>
    <w:rsid w:val="009F5930"/>
    <w:rsid w:val="00A36722"/>
    <w:rsid w:val="00A4115F"/>
    <w:rsid w:val="00A631ED"/>
    <w:rsid w:val="00A824E3"/>
    <w:rsid w:val="00AA7C56"/>
    <w:rsid w:val="00AD7B0E"/>
    <w:rsid w:val="00AE159D"/>
    <w:rsid w:val="00B10A34"/>
    <w:rsid w:val="00B11656"/>
    <w:rsid w:val="00B2357C"/>
    <w:rsid w:val="00B3446D"/>
    <w:rsid w:val="00B607F0"/>
    <w:rsid w:val="00B660B2"/>
    <w:rsid w:val="00B74A35"/>
    <w:rsid w:val="00B92F87"/>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469D5"/>
    <w:rsid w:val="00C6295E"/>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DF7EA7"/>
    <w:rsid w:val="00E1137D"/>
    <w:rsid w:val="00E40B9A"/>
    <w:rsid w:val="00E51B2C"/>
    <w:rsid w:val="00E94714"/>
    <w:rsid w:val="00EB1108"/>
    <w:rsid w:val="00F156C8"/>
    <w:rsid w:val="00F27D87"/>
    <w:rsid w:val="00F3273D"/>
    <w:rsid w:val="00F6247F"/>
    <w:rsid w:val="00F92300"/>
    <w:rsid w:val="00F96D1D"/>
    <w:rsid w:val="00FA60EB"/>
    <w:rsid w:val="00FC5EA1"/>
    <w:rsid w:val="00FE22AB"/>
    <w:rsid w:val="00FF025C"/>
    <w:rsid w:val="00FF5405"/>
    <w:rsid w:val="0D9D066B"/>
    <w:rsid w:val="10FDD593"/>
    <w:rsid w:val="1FB1C135"/>
    <w:rsid w:val="3737DB74"/>
    <w:rsid w:val="37EB81A1"/>
    <w:rsid w:val="3D5F1729"/>
    <w:rsid w:val="3DD25373"/>
    <w:rsid w:val="3DFF318D"/>
    <w:rsid w:val="4DE16844"/>
    <w:rsid w:val="55F3DFD9"/>
    <w:rsid w:val="5A7F3488"/>
    <w:rsid w:val="5B9D37DE"/>
    <w:rsid w:val="5CF63565"/>
    <w:rsid w:val="5F8E7D98"/>
    <w:rsid w:val="665DEAB9"/>
    <w:rsid w:val="6D4A539D"/>
    <w:rsid w:val="6E874EF2"/>
    <w:rsid w:val="6EAF6E86"/>
    <w:rsid w:val="73B7A0EC"/>
    <w:rsid w:val="777D666E"/>
    <w:rsid w:val="77FEA476"/>
    <w:rsid w:val="78DFBFAB"/>
    <w:rsid w:val="792FFE86"/>
    <w:rsid w:val="7B3568D8"/>
    <w:rsid w:val="7BCB00CA"/>
    <w:rsid w:val="7BF7BBD9"/>
    <w:rsid w:val="7BFD9CCC"/>
    <w:rsid w:val="7BFF55F7"/>
    <w:rsid w:val="7C9DB06B"/>
    <w:rsid w:val="7CD4C498"/>
    <w:rsid w:val="7DBA4F1F"/>
    <w:rsid w:val="7DE71577"/>
    <w:rsid w:val="7DEE4149"/>
    <w:rsid w:val="7DFFAE40"/>
    <w:rsid w:val="7F7EC792"/>
    <w:rsid w:val="7FB64389"/>
    <w:rsid w:val="7FBDCBA6"/>
    <w:rsid w:val="7FBF5CC8"/>
    <w:rsid w:val="7FD3D5F6"/>
    <w:rsid w:val="7FED4DB4"/>
    <w:rsid w:val="7FF70AEE"/>
    <w:rsid w:val="9CF72D12"/>
    <w:rsid w:val="9EDD2608"/>
    <w:rsid w:val="A7EDB50C"/>
    <w:rsid w:val="A99F99AA"/>
    <w:rsid w:val="BBBFF10B"/>
    <w:rsid w:val="BDBFCBB3"/>
    <w:rsid w:val="BF772C84"/>
    <w:rsid w:val="BFFE36B2"/>
    <w:rsid w:val="BFFEAC35"/>
    <w:rsid w:val="C59B8DA8"/>
    <w:rsid w:val="CFFDF65F"/>
    <w:rsid w:val="D3765FAE"/>
    <w:rsid w:val="D47B2A1D"/>
    <w:rsid w:val="D5D8FCAA"/>
    <w:rsid w:val="DD77EF18"/>
    <w:rsid w:val="DF4F77BE"/>
    <w:rsid w:val="E6E71864"/>
    <w:rsid w:val="E9B5D7B9"/>
    <w:rsid w:val="ED7FC5F2"/>
    <w:rsid w:val="EDB8482A"/>
    <w:rsid w:val="EEBF6B3D"/>
    <w:rsid w:val="EF7D21A7"/>
    <w:rsid w:val="EFDF475C"/>
    <w:rsid w:val="F72F6BA6"/>
    <w:rsid w:val="F73C6050"/>
    <w:rsid w:val="F75F0F6B"/>
    <w:rsid w:val="F7F54F5F"/>
    <w:rsid w:val="F9EE3BA9"/>
    <w:rsid w:val="FB3E4F16"/>
    <w:rsid w:val="FBF764B8"/>
    <w:rsid w:val="FD5FFB6E"/>
    <w:rsid w:val="FEE7D466"/>
    <w:rsid w:val="FF08B02B"/>
    <w:rsid w:val="FF334ECA"/>
    <w:rsid w:val="FF768150"/>
    <w:rsid w:val="FFCEB4E9"/>
    <w:rsid w:val="FFFF12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9"/>
    <w:qFormat/>
    <w:uiPriority w:val="9"/>
    <w:pPr>
      <w:keepNext/>
      <w:keepLines/>
      <w:outlineLvl w:val="0"/>
    </w:pPr>
    <w:rPr>
      <w:rFonts w:ascii="Calibri" w:hAnsi="Calibri" w:eastAsia="方正黑体_GBK"/>
      <w:bCs/>
      <w:kern w:val="44"/>
      <w:szCs w:val="44"/>
    </w:rPr>
  </w:style>
  <w:style w:type="paragraph" w:styleId="3">
    <w:name w:val="heading 2"/>
    <w:basedOn w:val="1"/>
    <w:next w:val="1"/>
    <w:link w:val="15"/>
    <w:unhideWhenUsed/>
    <w:qFormat/>
    <w:uiPriority w:val="9"/>
    <w:pPr>
      <w:keepNext/>
      <w:keepLines/>
      <w:outlineLvl w:val="1"/>
    </w:pPr>
    <w:rPr>
      <w:rFonts w:ascii="Cambria" w:hAnsi="Cambria" w:eastAsia="方正楷体_GBK"/>
      <w:bCs/>
      <w:szCs w:val="32"/>
    </w:rPr>
  </w:style>
  <w:style w:type="paragraph" w:styleId="4">
    <w:name w:val="heading 3"/>
    <w:basedOn w:val="1"/>
    <w:next w:val="1"/>
    <w:link w:val="18"/>
    <w:unhideWhenUsed/>
    <w:qFormat/>
    <w:uiPriority w:val="9"/>
    <w:pPr>
      <w:keepNext/>
      <w:keepLines/>
      <w:outlineLvl w:val="2"/>
    </w:pPr>
    <w:rPr>
      <w:rFonts w:ascii="Calibri" w:hAnsi="Calibri" w:eastAsia="方正楷体_GBK"/>
      <w:bCs/>
      <w:szCs w:val="32"/>
    </w:rPr>
  </w:style>
  <w:style w:type="character" w:default="1" w:styleId="12">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Date"/>
    <w:basedOn w:val="1"/>
    <w:next w:val="1"/>
    <w:link w:val="23"/>
    <w:unhideWhenUsed/>
    <w:qFormat/>
    <w:uiPriority w:val="99"/>
    <w:pPr>
      <w:ind w:left="100" w:leftChars="2500"/>
    </w:pPr>
  </w:style>
  <w:style w:type="paragraph" w:styleId="7">
    <w:name w:val="Balloon Text"/>
    <w:basedOn w:val="1"/>
    <w:link w:val="22"/>
    <w:unhideWhenUsed/>
    <w:qFormat/>
    <w:uiPriority w:val="99"/>
    <w:pPr>
      <w:spacing w:line="240" w:lineRule="auto"/>
    </w:pPr>
    <w:rPr>
      <w:sz w:val="18"/>
      <w:szCs w:val="18"/>
    </w:rPr>
  </w:style>
  <w:style w:type="paragraph" w:styleId="8">
    <w:name w:val="footer"/>
    <w:basedOn w:val="1"/>
    <w:link w:val="16"/>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0">
    <w:name w:val="annotation subject"/>
    <w:basedOn w:val="5"/>
    <w:next w:val="5"/>
    <w:link w:val="20"/>
    <w:unhideWhenUsed/>
    <w:qFormat/>
    <w:uiPriority w:val="99"/>
    <w:rPr>
      <w:b/>
      <w:bCs/>
    </w:rPr>
  </w:style>
  <w:style w:type="character" w:styleId="13">
    <w:name w:val="annotation reference"/>
    <w:basedOn w:val="12"/>
    <w:unhideWhenUsed/>
    <w:qFormat/>
    <w:uiPriority w:val="99"/>
    <w:rPr>
      <w:sz w:val="21"/>
      <w:szCs w:val="21"/>
    </w:rPr>
  </w:style>
  <w:style w:type="paragraph" w:customStyle="1" w:styleId="14">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5">
    <w:name w:val="标题 2 Char"/>
    <w:link w:val="3"/>
    <w:qFormat/>
    <w:uiPriority w:val="9"/>
    <w:rPr>
      <w:rFonts w:ascii="Cambria" w:hAnsi="Cambria" w:eastAsia="方正楷体_GBK"/>
      <w:bCs/>
      <w:kern w:val="2"/>
      <w:sz w:val="30"/>
      <w:szCs w:val="32"/>
    </w:rPr>
  </w:style>
  <w:style w:type="character" w:customStyle="1" w:styleId="16">
    <w:name w:val="页脚 Char"/>
    <w:link w:val="8"/>
    <w:qFormat/>
    <w:uiPriority w:val="99"/>
    <w:rPr>
      <w:rFonts w:eastAsia="方正仿宋_GBK"/>
      <w:spacing w:val="6"/>
      <w:sz w:val="18"/>
      <w:szCs w:val="18"/>
    </w:rPr>
  </w:style>
  <w:style w:type="character" w:customStyle="1" w:styleId="17">
    <w:name w:val="页眉 Char"/>
    <w:link w:val="9"/>
    <w:qFormat/>
    <w:uiPriority w:val="99"/>
    <w:rPr>
      <w:rFonts w:eastAsia="方正仿宋_GBK"/>
      <w:spacing w:val="6"/>
      <w:sz w:val="18"/>
      <w:szCs w:val="18"/>
    </w:rPr>
  </w:style>
  <w:style w:type="character" w:customStyle="1" w:styleId="18">
    <w:name w:val="标题 3 Char"/>
    <w:link w:val="4"/>
    <w:qFormat/>
    <w:uiPriority w:val="9"/>
    <w:rPr>
      <w:rFonts w:eastAsia="方正楷体_GBK"/>
      <w:bCs/>
      <w:kern w:val="2"/>
      <w:sz w:val="30"/>
      <w:szCs w:val="32"/>
    </w:rPr>
  </w:style>
  <w:style w:type="character" w:customStyle="1" w:styleId="19">
    <w:name w:val="标题 1 Char"/>
    <w:link w:val="2"/>
    <w:qFormat/>
    <w:uiPriority w:val="9"/>
    <w:rPr>
      <w:rFonts w:eastAsia="方正黑体_GBK"/>
      <w:bCs/>
      <w:kern w:val="44"/>
      <w:sz w:val="30"/>
      <w:szCs w:val="44"/>
    </w:rPr>
  </w:style>
  <w:style w:type="character" w:customStyle="1" w:styleId="20">
    <w:name w:val="批注主题 Char"/>
    <w:basedOn w:val="21"/>
    <w:link w:val="10"/>
    <w:semiHidden/>
    <w:qFormat/>
    <w:uiPriority w:val="99"/>
    <w:rPr>
      <w:b/>
      <w:bCs/>
    </w:rPr>
  </w:style>
  <w:style w:type="character" w:customStyle="1" w:styleId="21">
    <w:name w:val="批注文字 Char"/>
    <w:basedOn w:val="12"/>
    <w:link w:val="5"/>
    <w:semiHidden/>
    <w:qFormat/>
    <w:uiPriority w:val="99"/>
    <w:rPr>
      <w:rFonts w:ascii="Times New Roman" w:hAnsi="Times New Roman" w:eastAsia="方正仿宋_GBK"/>
      <w:kern w:val="2"/>
      <w:sz w:val="30"/>
      <w:szCs w:val="22"/>
    </w:rPr>
  </w:style>
  <w:style w:type="character" w:customStyle="1" w:styleId="22">
    <w:name w:val="批注框文本 Char"/>
    <w:basedOn w:val="12"/>
    <w:link w:val="7"/>
    <w:semiHidden/>
    <w:qFormat/>
    <w:uiPriority w:val="99"/>
    <w:rPr>
      <w:rFonts w:ascii="Times New Roman" w:hAnsi="Times New Roman" w:eastAsia="方正仿宋_GBK"/>
      <w:kern w:val="2"/>
      <w:sz w:val="18"/>
      <w:szCs w:val="18"/>
    </w:rPr>
  </w:style>
  <w:style w:type="character" w:customStyle="1" w:styleId="23">
    <w:name w:val="日期 Char"/>
    <w:basedOn w:val="12"/>
    <w:link w:val="6"/>
    <w:semiHidden/>
    <w:qFormat/>
    <w:uiPriority w:val="99"/>
    <w:rPr>
      <w:rFonts w:ascii="Times New Roman" w:hAnsi="Times New Roman" w:eastAsia="方正仿宋_GBK"/>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153</Words>
  <Characters>875</Characters>
  <Lines>7</Lines>
  <Paragraphs>2</Paragraphs>
  <TotalTime>1158</TotalTime>
  <ScaleCrop>false</ScaleCrop>
  <LinksUpToDate>false</LinksUpToDate>
  <CharactersWithSpaces>1026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2018-10-30T10:13:00Z</dcterms:created>
  <dc:creator>程建林</dc:creator>
  <cp:lastModifiedBy>姜太公</cp:lastModifiedBy>
  <cp:lastPrinted>2020-12-09T01:23:00Z</cp:lastPrinted>
  <dcterms:modified xsi:type="dcterms:W3CDTF">2020-12-25T02:49:28Z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