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方正黑体_GBK" w:hAnsi="仿宋" w:eastAsia="方正黑体_GBK" w:cs="仿宋"/>
          <w:spacing w:val="-14"/>
          <w:kern w:val="0"/>
          <w:sz w:val="32"/>
          <w:szCs w:val="32"/>
        </w:rPr>
      </w:pPr>
      <w:r>
        <w:rPr>
          <w:rFonts w:hint="eastAsia" w:ascii="方正黑体_GBK" w:hAnsi="仿宋" w:eastAsia="方正黑体_GBK" w:cs="仿宋"/>
          <w:spacing w:val="-14"/>
          <w:kern w:val="0"/>
          <w:sz w:val="32"/>
          <w:szCs w:val="32"/>
        </w:rPr>
        <w:t>附</w:t>
      </w:r>
      <w:r>
        <w:rPr>
          <w:rFonts w:hint="eastAsia" w:ascii="方正黑体_GBK" w:hAnsi="仿宋" w:eastAsia="方正黑体_GBK" w:cs="仿宋"/>
          <w:spacing w:val="-14"/>
          <w:kern w:val="0"/>
          <w:sz w:val="32"/>
          <w:szCs w:val="32"/>
          <w:lang w:eastAsia="zh-CN"/>
        </w:rPr>
        <w:t>件</w:t>
      </w:r>
      <w:r>
        <w:rPr>
          <w:rFonts w:hint="eastAsia" w:ascii="方正黑体_GBK" w:hAnsi="仿宋" w:eastAsia="方正黑体_GBK" w:cs="仿宋"/>
          <w:spacing w:val="-14"/>
          <w:kern w:val="0"/>
          <w:sz w:val="32"/>
          <w:szCs w:val="32"/>
          <w:lang w:val="en-US" w:eastAsia="zh-CN"/>
        </w:rPr>
        <w:t>4</w:t>
      </w:r>
      <w:r>
        <w:rPr>
          <w:rFonts w:hint="eastAsia" w:ascii="方正黑体_GBK" w:hAnsi="仿宋" w:eastAsia="方正黑体_GBK" w:cs="仿宋"/>
          <w:spacing w:val="-14"/>
          <w:kern w:val="0"/>
          <w:sz w:val="32"/>
          <w:szCs w:val="32"/>
        </w:rPr>
        <w:t>-1</w:t>
      </w:r>
    </w:p>
    <w:p>
      <w:pPr>
        <w:spacing w:line="360" w:lineRule="exact"/>
        <w:jc w:val="left"/>
        <w:rPr>
          <w:rFonts w:hint="eastAsia" w:ascii="仿宋" w:hAnsi="仿宋" w:eastAsia="仿宋" w:cs="仿宋"/>
          <w:b/>
          <w:bCs/>
          <w:spacing w:val="-14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_GBK" w:hAnsi="仿宋" w:eastAsia="方正小标宋_GBK" w:cs="仿宋"/>
          <w:bCs/>
          <w:spacing w:val="-14"/>
          <w:kern w:val="0"/>
          <w:sz w:val="36"/>
          <w:szCs w:val="36"/>
        </w:rPr>
      </w:pPr>
      <w:r>
        <w:rPr>
          <w:rFonts w:hint="eastAsia" w:ascii="方正小标宋_GBK" w:hAnsi="仿宋" w:eastAsia="方正小标宋_GBK" w:cs="仿宋"/>
          <w:bCs/>
          <w:spacing w:val="-14"/>
          <w:kern w:val="0"/>
          <w:sz w:val="36"/>
          <w:szCs w:val="36"/>
        </w:rPr>
        <w:t>玉溪市医疗保险医疗机构服务能力评估表</w:t>
      </w:r>
    </w:p>
    <w:p>
      <w:pPr>
        <w:spacing w:line="500" w:lineRule="exact"/>
        <w:jc w:val="center"/>
        <w:rPr>
          <w:rFonts w:hint="eastAsia" w:ascii="方正小标宋_GBK" w:hAnsi="仿宋" w:eastAsia="方正小标宋_GBK" w:cs="仿宋"/>
          <w:bCs/>
          <w:spacing w:val="-14"/>
          <w:kern w:val="0"/>
          <w:sz w:val="36"/>
          <w:szCs w:val="36"/>
        </w:rPr>
      </w:pPr>
      <w:r>
        <w:rPr>
          <w:rFonts w:hint="eastAsia" w:ascii="方正小标宋_GBK" w:hAnsi="仿宋" w:eastAsia="方正小标宋_GBK" w:cs="仿宋"/>
          <w:bCs/>
          <w:spacing w:val="-14"/>
          <w:kern w:val="0"/>
          <w:sz w:val="36"/>
          <w:szCs w:val="36"/>
        </w:rPr>
        <w:t>（开展住院业务医疗机构）</w:t>
      </w:r>
    </w:p>
    <w:p>
      <w:pPr>
        <w:spacing w:line="360" w:lineRule="exact"/>
        <w:ind w:firstLine="424"/>
        <w:jc w:val="center"/>
        <w:rPr>
          <w:rFonts w:hint="eastAsia" w:ascii="黑体" w:hAnsi="黑体" w:eastAsia="黑体" w:cs="宋体"/>
          <w:b/>
          <w:bCs/>
          <w:spacing w:val="-14"/>
          <w:kern w:val="0"/>
          <w:sz w:val="24"/>
        </w:rPr>
      </w:pPr>
    </w:p>
    <w:tbl>
      <w:tblPr>
        <w:tblStyle w:val="7"/>
        <w:tblW w:w="80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75"/>
        <w:gridCol w:w="4914"/>
        <w:gridCol w:w="1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序号</w:t>
            </w:r>
          </w:p>
        </w:tc>
        <w:tc>
          <w:tcPr>
            <w:tcW w:w="6189" w:type="dxa"/>
            <w:gridSpan w:val="2"/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评定项目及量化评分标准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具有服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务资质</w:t>
            </w:r>
          </w:p>
        </w:tc>
        <w:tc>
          <w:tcPr>
            <w:tcW w:w="4914" w:type="dxa"/>
            <w:vAlign w:val="center"/>
          </w:tcPr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（1）具有《营业执照》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《医疗机构执业许可证》。无或缺项，实行一票否决，不予受理。未按规定时间效验的，酌情扣分；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分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（2）卫生技术人员符合规定，配置合理，相应资质齐全,否则，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该项不得分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；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（3）第一执业点注册于该医疗机构的医师达到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相应医疗机构基本标准要求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，否则，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该项不得分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诚信守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法经营</w:t>
            </w:r>
          </w:p>
        </w:tc>
        <w:tc>
          <w:tcPr>
            <w:tcW w:w="491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（1）年内无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卫健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市场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监督等相关部门的违法违规查处记录，否则，酌情扣分；5分</w:t>
            </w:r>
          </w:p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（2）服务项目和收费价格公开，否则，酌情扣分；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分</w:t>
            </w:r>
          </w:p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（3）抽查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种常用药品价格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，与市药品配送结算系统内同品规同企业价格对比，不超过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10%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否则，酌情扣分。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维护职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工权益</w:t>
            </w:r>
          </w:p>
        </w:tc>
        <w:tc>
          <w:tcPr>
            <w:tcW w:w="4914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color w:val="auto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依法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为全体员工</w:t>
            </w:r>
            <w:r>
              <w:rPr>
                <w:rFonts w:hint="eastAsia" w:ascii="Times New Roman" w:hAnsi="Times New Roman" w:eastAsia="方正仿宋_GBK"/>
                <w:strike w:val="0"/>
                <w:dstrike w:val="0"/>
                <w:color w:val="auto"/>
                <w:sz w:val="24"/>
                <w:lang w:eastAsia="zh-CN"/>
              </w:rPr>
              <w:t>缴纳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城镇职工医疗保险费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，否则，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该项不得分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；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内部管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理规范</w:t>
            </w:r>
          </w:p>
        </w:tc>
        <w:tc>
          <w:tcPr>
            <w:tcW w:w="4914" w:type="dxa"/>
            <w:vAlign w:val="center"/>
          </w:tcPr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（1）有明确有效的内部管理制度，配备专（兼）职医保管理人员，否则，该项不得分；2分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（2）按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规定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配备专（兼）职财务管理人员，建立健全财务管理制度，药品耗材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购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销存管理制度，否则，该项不得分；1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（3）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购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药渠道规范，否则，酌情扣分。3分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hint="eastAsia" w:ascii="方正仿宋_GBK" w:hAnsi="仿宋" w:eastAsia="方正仿宋_GBK" w:cs="仿宋"/>
                <w:color w:val="auto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仿宋"/>
                <w:color w:val="auto"/>
                <w:kern w:val="0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hint="eastAsia" w:ascii="方正仿宋_GBK" w:hAnsi="仿宋" w:eastAsia="方正仿宋_GBK" w:cs="仿宋"/>
                <w:color w:val="auto"/>
              </w:rPr>
            </w:pPr>
            <w:r>
              <w:rPr>
                <w:rFonts w:hint="eastAsia" w:ascii="方正仿宋_GBK" w:hAnsi="仿宋" w:eastAsia="方正仿宋_GBK" w:cs="仿宋"/>
                <w:color w:val="auto"/>
              </w:rPr>
              <w:t>服务能</w:t>
            </w:r>
          </w:p>
          <w:p>
            <w:pPr>
              <w:pStyle w:val="8"/>
              <w:spacing w:line="360" w:lineRule="exact"/>
              <w:rPr>
                <w:rFonts w:hint="eastAsia" w:ascii="方正仿宋_GBK" w:hAnsi="仿宋" w:eastAsia="方正仿宋_GBK" w:cs="仿宋"/>
                <w:color w:val="auto"/>
                <w:kern w:val="2"/>
              </w:rPr>
            </w:pPr>
            <w:r>
              <w:rPr>
                <w:rFonts w:hint="eastAsia" w:ascii="方正仿宋_GBK" w:hAnsi="仿宋" w:eastAsia="方正仿宋_GBK" w:cs="仿宋"/>
                <w:color w:val="auto"/>
              </w:rPr>
              <w:t>力情况</w:t>
            </w:r>
          </w:p>
        </w:tc>
        <w:tc>
          <w:tcPr>
            <w:tcW w:w="4914" w:type="dxa"/>
            <w:vAlign w:val="center"/>
          </w:tcPr>
          <w:p>
            <w:pPr>
              <w:pStyle w:val="8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  <w:t>（1）配备的医保药品种类400种以上（专科、一级医疗机构酌情考虑）,否则，酌情扣分；5分</w:t>
            </w:r>
          </w:p>
          <w:p>
            <w:pPr>
              <w:pStyle w:val="8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  <w:t>（2）配备药品中，医保目录内品种达到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  <w:t>%以上，否则，酌情扣分；5分</w:t>
            </w:r>
          </w:p>
          <w:p>
            <w:pPr>
              <w:pStyle w:val="8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  <w:t>（3）已开展的医疗服务项目中，医保目录内服务项目所占比例达到75%以上，否则，酌情扣分；5分</w:t>
            </w:r>
          </w:p>
          <w:p>
            <w:pPr>
              <w:pStyle w:val="8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  <w:t>（4）能提供6个月（或正式营业后）购进药品、医用耗材的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u w:val="none"/>
              </w:rPr>
              <w:t>合法票据（购药合同、供货方资质证明、随货同行单、发票等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  <w:t>，否则酌情扣分；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</w:rPr>
              <w:t>分</w:t>
            </w:r>
          </w:p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（5）已实时录入药品、耗材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销存全部环节数据并可查询6个月（或正式营业以后）以上数据，且与原始票据核对数据真实，否则酌情扣分；5分</w:t>
            </w:r>
          </w:p>
          <w:p>
            <w:pPr>
              <w:tabs>
                <w:tab w:val="left" w:pos="0"/>
              </w:tabs>
              <w:spacing w:line="360" w:lineRule="exact"/>
              <w:ind w:right="-2" w:rightChars="-1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（6）符合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卫健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市场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监督部门规定的医疗机构信息系统和药品质量信息建设要求，否则，酌情扣分；5分</w:t>
            </w:r>
          </w:p>
          <w:p>
            <w:pPr>
              <w:tabs>
                <w:tab w:val="left" w:pos="0"/>
              </w:tabs>
              <w:spacing w:line="360" w:lineRule="exact"/>
              <w:ind w:right="-2" w:rightChars="-1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（7）信息系统日常安全运行有专人管理维护，否则，酌情扣分；5分</w:t>
            </w:r>
          </w:p>
          <w:p>
            <w:pPr>
              <w:spacing w:line="360" w:lineRule="exact"/>
              <w:rPr>
                <w:rFonts w:hint="eastAsia" w:ascii="方正仿宋_GBK" w:hAnsi="仿宋" w:eastAsia="方正仿宋_GBK" w:cs="仿宋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（8）按服务协议要求，建立医疗保险信息系统，否则，该项不得分。5分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方正仿宋_GBK" w:hAnsi="仿宋" w:eastAsia="方正仿宋_GBK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10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/>
              <w:rPr>
                <w:rFonts w:hint="eastAsia" w:ascii="方正仿宋_GBK" w:hAnsi="仿宋" w:eastAsia="方正仿宋_GBK" w:cs="仿宋"/>
                <w:color w:val="auto"/>
              </w:rPr>
            </w:pPr>
            <w:r>
              <w:rPr>
                <w:rFonts w:hint="eastAsia" w:ascii="方正仿宋_GBK" w:hAnsi="仿宋" w:eastAsia="方正仿宋_GBK" w:cs="仿宋"/>
                <w:color w:val="auto"/>
                <w:kern w:val="0"/>
                <w:sz w:val="24"/>
              </w:rPr>
              <w:t>总　　分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40"/>
              <w:rPr>
                <w:rFonts w:hint="eastAsia" w:ascii="方正仿宋_GBK" w:hAnsi="仿宋" w:eastAsia="方正仿宋_GBK" w:cs="仿宋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仿宋" w:eastAsia="方正仿宋_GBK" w:cs="仿宋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100</w:t>
            </w:r>
          </w:p>
        </w:tc>
      </w:tr>
    </w:tbl>
    <w:p>
      <w:pPr>
        <w:spacing w:line="360" w:lineRule="exact"/>
        <w:ind w:firstLine="640"/>
        <w:rPr>
          <w:rFonts w:hint="eastAsia" w:ascii="仿宋" w:hAnsi="仿宋" w:eastAsia="仿宋" w:cs="仿宋"/>
        </w:rPr>
      </w:pPr>
    </w:p>
    <w:p>
      <w:pPr>
        <w:spacing w:line="3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spacing w:line="3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</w:p>
    <w:p>
      <w:pPr>
        <w:spacing w:line="360" w:lineRule="exact"/>
        <w:rPr>
          <w:rFonts w:hint="eastAsia" w:ascii="仿宋" w:hAnsi="仿宋" w:eastAsia="仿宋" w:cs="仿宋"/>
          <w:sz w:val="24"/>
        </w:rPr>
      </w:pPr>
      <w:bookmarkStart w:id="0" w:name="_GoBack"/>
      <w:bookmarkEnd w:id="0"/>
    </w:p>
    <w:p>
      <w:pPr>
        <w:spacing w:line="360" w:lineRule="exact"/>
        <w:jc w:val="left"/>
        <w:rPr>
          <w:rFonts w:hint="eastAsia" w:ascii="方正黑体_GBK" w:hAnsi="仿宋" w:eastAsia="方正黑体_GBK" w:cs="仿宋"/>
          <w:spacing w:val="-14"/>
          <w:kern w:val="0"/>
          <w:sz w:val="36"/>
          <w:szCs w:val="36"/>
        </w:rPr>
      </w:pPr>
    </w:p>
    <w:p>
      <w:pPr>
        <w:spacing w:line="360" w:lineRule="exact"/>
        <w:jc w:val="left"/>
        <w:rPr>
          <w:rFonts w:hint="eastAsia" w:ascii="方正黑体_GBK" w:hAnsi="仿宋" w:eastAsia="方正黑体_GBK" w:cs="仿宋"/>
          <w:spacing w:val="-14"/>
          <w:kern w:val="0"/>
          <w:sz w:val="36"/>
          <w:szCs w:val="36"/>
        </w:rPr>
      </w:pPr>
    </w:p>
    <w:p>
      <w:pPr>
        <w:spacing w:line="360" w:lineRule="exact"/>
        <w:jc w:val="left"/>
        <w:rPr>
          <w:rFonts w:hint="eastAsia" w:ascii="方正黑体_GBK" w:hAnsi="仿宋" w:eastAsia="方正黑体_GBK" w:cs="仿宋"/>
          <w:spacing w:val="-14"/>
          <w:kern w:val="0"/>
          <w:sz w:val="36"/>
          <w:szCs w:val="36"/>
        </w:rPr>
      </w:pPr>
    </w:p>
    <w:p>
      <w:pPr>
        <w:spacing w:line="360" w:lineRule="exact"/>
        <w:jc w:val="left"/>
        <w:rPr>
          <w:rFonts w:hint="eastAsia" w:ascii="方正黑体_GBK" w:hAnsi="仿宋" w:eastAsia="方正黑体_GBK" w:cs="仿宋"/>
          <w:spacing w:val="-14"/>
          <w:kern w:val="0"/>
          <w:sz w:val="36"/>
          <w:szCs w:val="36"/>
        </w:rPr>
      </w:pPr>
      <w:r>
        <w:rPr>
          <w:rFonts w:hint="eastAsia" w:ascii="方正黑体_GBK" w:hAnsi="仿宋" w:eastAsia="方正黑体_GBK" w:cs="仿宋"/>
          <w:spacing w:val="-14"/>
          <w:kern w:val="0"/>
          <w:sz w:val="36"/>
          <w:szCs w:val="36"/>
        </w:rPr>
        <w:t>附</w:t>
      </w:r>
      <w:r>
        <w:rPr>
          <w:rFonts w:hint="eastAsia" w:ascii="方正黑体_GBK" w:hAnsi="仿宋" w:eastAsia="方正黑体_GBK" w:cs="仿宋"/>
          <w:spacing w:val="-14"/>
          <w:kern w:val="0"/>
          <w:sz w:val="36"/>
          <w:szCs w:val="36"/>
          <w:lang w:eastAsia="zh-CN"/>
        </w:rPr>
        <w:t>件</w:t>
      </w:r>
      <w:r>
        <w:rPr>
          <w:rFonts w:hint="eastAsia" w:ascii="方正黑体_GBK" w:hAnsi="仿宋" w:eastAsia="方正黑体_GBK" w:cs="仿宋"/>
          <w:spacing w:val="-14"/>
          <w:kern w:val="0"/>
          <w:sz w:val="36"/>
          <w:szCs w:val="36"/>
          <w:lang w:val="en-US" w:eastAsia="zh-CN"/>
        </w:rPr>
        <w:t>4</w:t>
      </w:r>
      <w:r>
        <w:rPr>
          <w:rFonts w:hint="eastAsia" w:ascii="方正黑体_GBK" w:hAnsi="仿宋" w:eastAsia="方正黑体_GBK" w:cs="仿宋"/>
          <w:spacing w:val="-14"/>
          <w:kern w:val="0"/>
          <w:sz w:val="36"/>
          <w:szCs w:val="36"/>
        </w:rPr>
        <w:t>-2</w:t>
      </w:r>
    </w:p>
    <w:p>
      <w:pPr>
        <w:spacing w:line="360" w:lineRule="exact"/>
        <w:jc w:val="left"/>
        <w:rPr>
          <w:rFonts w:hint="eastAsia" w:ascii="仿宋" w:hAnsi="仿宋" w:eastAsia="仿宋" w:cs="仿宋"/>
          <w:spacing w:val="-14"/>
          <w:kern w:val="0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仿宋" w:eastAsia="方正小标宋_GBK" w:cs="仿宋"/>
          <w:spacing w:val="-14"/>
          <w:kern w:val="0"/>
          <w:sz w:val="36"/>
          <w:szCs w:val="36"/>
        </w:rPr>
      </w:pPr>
      <w:r>
        <w:rPr>
          <w:rFonts w:hint="eastAsia" w:ascii="方正小标宋_GBK" w:hAnsi="仿宋" w:eastAsia="方正小标宋_GBK" w:cs="仿宋"/>
          <w:spacing w:val="-14"/>
          <w:kern w:val="0"/>
          <w:sz w:val="36"/>
          <w:szCs w:val="36"/>
        </w:rPr>
        <w:t>玉溪市医疗保险医疗机构服务能力评估表</w:t>
      </w:r>
    </w:p>
    <w:p>
      <w:pPr>
        <w:spacing w:line="520" w:lineRule="exact"/>
        <w:jc w:val="center"/>
        <w:rPr>
          <w:rFonts w:hint="eastAsia" w:ascii="方正小标宋_GBK" w:hAnsi="仿宋" w:eastAsia="方正小标宋_GBK" w:cs="仿宋"/>
          <w:spacing w:val="-14"/>
          <w:kern w:val="0"/>
          <w:sz w:val="36"/>
          <w:szCs w:val="36"/>
        </w:rPr>
      </w:pPr>
      <w:r>
        <w:rPr>
          <w:rFonts w:hint="eastAsia" w:ascii="方正小标宋_GBK" w:hAnsi="仿宋" w:eastAsia="方正小标宋_GBK" w:cs="仿宋"/>
          <w:spacing w:val="-14"/>
          <w:kern w:val="0"/>
          <w:sz w:val="36"/>
          <w:szCs w:val="36"/>
        </w:rPr>
        <w:t>（未开展住院业务医疗机构）</w:t>
      </w:r>
    </w:p>
    <w:p>
      <w:pPr>
        <w:spacing w:line="360" w:lineRule="exact"/>
        <w:ind w:firstLine="424"/>
        <w:jc w:val="center"/>
        <w:rPr>
          <w:rFonts w:hint="eastAsia" w:ascii="仿宋" w:hAnsi="仿宋" w:eastAsia="仿宋" w:cs="仿宋"/>
          <w:spacing w:val="-14"/>
          <w:kern w:val="0"/>
          <w:sz w:val="24"/>
        </w:rPr>
      </w:pPr>
    </w:p>
    <w:tbl>
      <w:tblPr>
        <w:tblStyle w:val="7"/>
        <w:tblW w:w="80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75"/>
        <w:gridCol w:w="4914"/>
        <w:gridCol w:w="1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序号</w:t>
            </w:r>
          </w:p>
        </w:tc>
        <w:tc>
          <w:tcPr>
            <w:tcW w:w="6189" w:type="dxa"/>
            <w:gridSpan w:val="2"/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评定项目及量化评分标准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具有服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务资质</w:t>
            </w:r>
          </w:p>
        </w:tc>
        <w:tc>
          <w:tcPr>
            <w:tcW w:w="4914" w:type="dxa"/>
            <w:vAlign w:val="center"/>
          </w:tcPr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（1）具有《营业执照》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《医疗机构执业许可证》。无或缺项，实行一票否决，不予受理。未按规定时间效验的，酌情扣分；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分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（2）卫生技术人员符合规定，配置合理，相应资质齐全,否则，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该项不得分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；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（3）第一执业点注册于该医疗机构的医师1人及以上，否则，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该项不得分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诚信守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法经营</w:t>
            </w:r>
          </w:p>
        </w:tc>
        <w:tc>
          <w:tcPr>
            <w:tcW w:w="491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（1）年内无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卫健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市场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监督等相关部门的违法违规查处记录，否则，该项不得分；5分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（2）抽查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种常用药品价格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与市药品配送结算系统内同品规同企业价格对比，不超过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10%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否则，酌情扣分。1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维护职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工权益</w:t>
            </w:r>
          </w:p>
        </w:tc>
        <w:tc>
          <w:tcPr>
            <w:tcW w:w="491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依法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为全体员工缴纳</w:t>
            </w:r>
            <w:r>
              <w:rPr>
                <w:rFonts w:hint="eastAsia" w:ascii="Times New Roman" w:hAnsi="Times New Roman" w:eastAsia="方正仿宋_GBK"/>
                <w:strike w:val="0"/>
                <w:dstrike w:val="0"/>
                <w:color w:val="auto"/>
                <w:sz w:val="24"/>
                <w:lang w:eastAsia="zh-CN"/>
              </w:rPr>
              <w:t>城镇职工医疗保险费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，否则，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该项不得分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；</w:t>
            </w:r>
            <w:r>
              <w:rPr>
                <w:rFonts w:hint="eastAsia" w:ascii="Times New Roman" w:hAnsi="Times New Roman" w:eastAsia="方正仿宋_GBK"/>
                <w:strike w:val="0"/>
                <w:dstrike w:val="0"/>
                <w:color w:val="auto"/>
                <w:sz w:val="24"/>
                <w:lang w:val="en-US" w:eastAsia="zh-CN"/>
              </w:rPr>
              <w:t>5分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内部管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理规范</w:t>
            </w:r>
          </w:p>
        </w:tc>
        <w:tc>
          <w:tcPr>
            <w:tcW w:w="4914" w:type="dxa"/>
            <w:vAlign w:val="center"/>
          </w:tcPr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（1）有明确有效的内部管理制度，配备专兼职医保管理人员，否则，该项不得分；5分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（2）按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规定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配备专（兼）职财务管理人员，建立健全财务管理制度，药品耗材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购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销存管理制度，否则，该项不得分；1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（3）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购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药渠道规范，否则，酌情扣分。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 2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服务能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力较强</w:t>
            </w:r>
          </w:p>
        </w:tc>
        <w:tc>
          <w:tcPr>
            <w:tcW w:w="4914" w:type="dxa"/>
            <w:vAlign w:val="center"/>
          </w:tcPr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（1）能提供6个月（或正式营业后）购进药品、医用耗材的合法票据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u w:val="none"/>
              </w:rPr>
              <w:t>（购药合同、供货方资质证明、随货同行单、发票等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u w:val="none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，否则，酌情扣分；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15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（2）已实时录入药品、耗材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购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销存全部环节数据并可查询6个月（或正式营业以后）以上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合法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数据，且与原始票据核对数据真实，否则酌情扣分；1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  <w:p>
            <w:pPr>
              <w:tabs>
                <w:tab w:val="left" w:pos="0"/>
              </w:tabs>
              <w:spacing w:line="360" w:lineRule="exact"/>
              <w:ind w:right="-2" w:rightChars="-1"/>
              <w:jc w:val="lef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（3）符合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卫健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市场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监督部门规定的医疗机构信息系统和药品质量信息建设要求，否则，酌情扣分；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  <w:p>
            <w:pPr>
              <w:tabs>
                <w:tab w:val="left" w:pos="0"/>
              </w:tabs>
              <w:spacing w:line="360" w:lineRule="exact"/>
              <w:ind w:right="-2" w:rightChars="-1"/>
              <w:jc w:val="lef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（4）信息系统日常安全运行有专兼职人员管理维护，否则，酌情扣分；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（5）按服务协议要求，建立医疗保险信息系统，否则，该项不得分。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10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总　　分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40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A17F4"/>
    <w:rsid w:val="14882D93"/>
    <w:rsid w:val="1DA424AE"/>
    <w:rsid w:val="38633512"/>
    <w:rsid w:val="4DBB3C50"/>
    <w:rsid w:val="5187608A"/>
    <w:rsid w:val="7D7A1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00" w:beforeLines="0" w:beforeAutospacing="1" w:after="100" w:afterLines="0" w:afterAutospacing="1"/>
      <w:outlineLvl w:val="2"/>
    </w:pPr>
    <w:rPr>
      <w:rFonts w:hint="eastAsia" w:ascii="宋体" w:hAnsi="宋体" w:eastAsia="方正楷体_GBK" w:cs="Times New Roman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K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hAnsi="Calibri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2019-11-18T09:50:00Z</dcterms:created>
  <dc:creator>对方正在输入...</dc:creator>
  <cp:lastModifiedBy>对方正在输入...</cp:lastModifiedBy>
  <dcterms:modified xsi:type="dcterms:W3CDTF">2019-11-18T09:55:19Z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