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lang w:eastAsia="zh-CN"/>
        </w:rPr>
      </w:pPr>
      <w:r>
        <w:drawing>
          <wp:anchor distT="0" distB="0" distL="114300" distR="114300" simplePos="0" relativeHeight="251660288" behindDoc="0" locked="0" layoutInCell="1" allowOverlap="1">
            <wp:simplePos x="0" y="0"/>
            <wp:positionH relativeFrom="column">
              <wp:posOffset>64135</wp:posOffset>
            </wp:positionH>
            <wp:positionV relativeFrom="paragraph">
              <wp:posOffset>56515</wp:posOffset>
            </wp:positionV>
            <wp:extent cx="5276850" cy="865505"/>
            <wp:effectExtent l="0" t="0" r="0" b="10795"/>
            <wp:wrapTopAndBottom/>
            <wp:docPr id="5" name="图片 1" descr="88619841316124255182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8861984131612425518200.png"/>
                    <pic:cNvPicPr>
                      <a:picLocks noChangeAspect="1"/>
                    </pic:cNvPicPr>
                  </pic:nvPicPr>
                  <pic:blipFill>
                    <a:blip r:embed="rId4"/>
                    <a:stretch>
                      <a:fillRect/>
                    </a:stretch>
                  </pic:blipFill>
                  <pic:spPr>
                    <a:xfrm>
                      <a:off x="0" y="0"/>
                      <a:ext cx="5276850" cy="865505"/>
                    </a:xfrm>
                    <a:prstGeom prst="rect">
                      <a:avLst/>
                    </a:prstGeom>
                    <a:noFill/>
                    <a:ln>
                      <a:noFill/>
                    </a:ln>
                  </pic:spPr>
                </pic:pic>
              </a:graphicData>
            </a:graphic>
          </wp:anchor>
        </w:drawing>
      </w:r>
    </w:p>
    <w:p>
      <w:pPr>
        <w:tabs>
          <w:tab w:val="left" w:pos="503"/>
        </w:tabs>
        <w:ind w:firstLine="0" w:firstLineChars="0"/>
        <w:jc w:val="center"/>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（第2</w:t>
      </w:r>
      <w:r>
        <w:rPr>
          <w:rFonts w:hint="eastAsia" w:ascii="仿宋_GB2312" w:hAnsi="仿宋_GB2312" w:eastAsia="仿宋_GB2312" w:cs="仿宋_GB2312"/>
          <w:b/>
          <w:sz w:val="32"/>
          <w:szCs w:val="32"/>
          <w:lang w:val="en-US" w:eastAsia="zh-CN"/>
        </w:rPr>
        <w:t>6</w:t>
      </w:r>
      <w:r>
        <w:rPr>
          <w:rFonts w:hint="eastAsia" w:ascii="仿宋_GB2312" w:hAnsi="仿宋_GB2312" w:eastAsia="仿宋_GB2312" w:cs="仿宋_GB2312"/>
          <w:b/>
          <w:sz w:val="32"/>
          <w:szCs w:val="32"/>
        </w:rPr>
        <w:t>期）</w:t>
      </w:r>
    </w:p>
    <w:tbl>
      <w:tblPr>
        <w:tblStyle w:val="3"/>
        <w:tblpPr w:leftFromText="180" w:rightFromText="180" w:vertAnchor="text" w:horzAnchor="page" w:tblpX="1450" w:tblpY="334"/>
        <w:tblOverlap w:val="never"/>
        <w:tblW w:w="9360" w:type="dxa"/>
        <w:tblInd w:w="0" w:type="dxa"/>
        <w:tblBorders>
          <w:top w:val="single" w:color="FF0000" w:sz="24" w:space="0"/>
          <w:left w:val="single" w:color="FF0000" w:sz="24" w:space="0"/>
          <w:bottom w:val="single" w:color="FF0000" w:sz="24" w:space="0"/>
          <w:right w:val="single" w:color="FF0000" w:sz="24" w:space="0"/>
          <w:insideH w:val="single" w:color="FF0000" w:sz="24" w:space="0"/>
          <w:insideV w:val="single" w:color="FF0000" w:sz="24" w:space="0"/>
        </w:tblBorders>
        <w:tblLayout w:type="fixed"/>
        <w:tblCellMar>
          <w:top w:w="0" w:type="dxa"/>
          <w:left w:w="108" w:type="dxa"/>
          <w:bottom w:w="0" w:type="dxa"/>
          <w:right w:w="108" w:type="dxa"/>
        </w:tblCellMar>
      </w:tblPr>
      <w:tblGrid>
        <w:gridCol w:w="5192"/>
        <w:gridCol w:w="4168"/>
      </w:tblGrid>
      <w:tr>
        <w:tblPrEx>
          <w:tblBorders>
            <w:top w:val="single" w:color="FF0000" w:sz="24" w:space="0"/>
            <w:left w:val="single" w:color="FF0000" w:sz="24" w:space="0"/>
            <w:bottom w:val="single" w:color="FF0000" w:sz="24" w:space="0"/>
            <w:right w:val="single" w:color="FF0000" w:sz="24" w:space="0"/>
            <w:insideH w:val="single" w:color="FF0000" w:sz="24" w:space="0"/>
            <w:insideV w:val="single" w:color="FF0000" w:sz="24" w:space="0"/>
          </w:tblBorders>
          <w:tblLayout w:type="fixed"/>
          <w:tblCellMar>
            <w:top w:w="0" w:type="dxa"/>
            <w:left w:w="108" w:type="dxa"/>
            <w:bottom w:w="0" w:type="dxa"/>
            <w:right w:w="108" w:type="dxa"/>
          </w:tblCellMar>
        </w:tblPrEx>
        <w:trPr>
          <w:trHeight w:val="348" w:hRule="atLeast"/>
        </w:trPr>
        <w:tc>
          <w:tcPr>
            <w:tcW w:w="5192" w:type="dxa"/>
            <w:tcBorders>
              <w:top w:val="nil"/>
              <w:left w:val="nil"/>
              <w:bottom w:val="single" w:color="FF0000" w:sz="24" w:space="0"/>
              <w:right w:val="nil"/>
            </w:tcBorders>
          </w:tcPr>
          <w:p>
            <w:pPr>
              <w:spacing w:line="240" w:lineRule="atLeast"/>
              <w:ind w:firstLine="0" w:firstLineChars="0"/>
              <w:jc w:val="left"/>
              <w:rPr>
                <w:rFonts w:hint="eastAsia" w:ascii="仿宋_GB2312" w:hAnsi="仿宋_GB2312" w:eastAsia="仿宋_GB2312" w:cs="仿宋_GB2312"/>
                <w:spacing w:val="-16"/>
                <w:w w:val="90"/>
                <w:sz w:val="32"/>
                <w:szCs w:val="32"/>
              </w:rPr>
            </w:pPr>
            <w:r>
              <w:rPr>
                <w:rFonts w:hint="eastAsia" w:ascii="仿宋_GB2312" w:hAnsi="仿宋_GB2312" w:eastAsia="仿宋_GB2312" w:cs="仿宋_GB2312"/>
                <w:spacing w:val="-16"/>
                <w:w w:val="90"/>
                <w:sz w:val="32"/>
                <w:szCs w:val="32"/>
              </w:rPr>
              <w:t>新平彝族傣族自治县人力资源和社会保障局</w:t>
            </w:r>
          </w:p>
        </w:tc>
        <w:tc>
          <w:tcPr>
            <w:tcW w:w="4168" w:type="dxa"/>
            <w:tcBorders>
              <w:top w:val="nil"/>
              <w:left w:val="nil"/>
              <w:bottom w:val="single" w:color="FF0000" w:sz="24" w:space="0"/>
              <w:right w:val="nil"/>
            </w:tcBorders>
          </w:tcPr>
          <w:p>
            <w:pPr>
              <w:spacing w:line="240" w:lineRule="atLeast"/>
              <w:ind w:right="65" w:firstLine="511"/>
              <w:rPr>
                <w:rFonts w:hint="eastAsia" w:ascii="仿宋_GB2312" w:hAnsi="仿宋_GB2312" w:eastAsia="仿宋_GB2312" w:cs="仿宋_GB2312"/>
                <w:spacing w:val="-16"/>
                <w:w w:val="90"/>
                <w:sz w:val="32"/>
                <w:szCs w:val="32"/>
              </w:rPr>
            </w:pPr>
            <w:r>
              <w:rPr>
                <w:rFonts w:hint="eastAsia" w:ascii="仿宋_GB2312" w:hAnsi="仿宋_GB2312" w:eastAsia="仿宋_GB2312" w:cs="仿宋_GB2312"/>
                <w:spacing w:val="-16"/>
                <w:w w:val="90"/>
                <w:sz w:val="32"/>
                <w:szCs w:val="32"/>
              </w:rPr>
              <w:t xml:space="preserve">           2021年4</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22</w:t>
            </w:r>
            <w:r>
              <w:rPr>
                <w:rFonts w:hint="eastAsia" w:ascii="仿宋_GB2312" w:hAnsi="仿宋_GB2312" w:eastAsia="仿宋_GB2312" w:cs="仿宋_GB2312"/>
                <w:sz w:val="32"/>
                <w:szCs w:val="32"/>
              </w:rPr>
              <w:t>日</w:t>
            </w:r>
          </w:p>
        </w:tc>
      </w:tr>
    </w:tbl>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小标宋_GBK" w:hAnsi="方正小标宋_GBK" w:eastAsia="方正小标宋_GBK" w:cs="方正小标宋_GBK"/>
          <w:sz w:val="44"/>
          <w:szCs w:val="44"/>
          <w:lang w:eastAsia="zh-CN"/>
        </w:rPr>
      </w:pP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eastAsia="zh-CN"/>
        </w:rPr>
        <w:t>云南省人力资源和社会保障厅党组成员</w:t>
      </w: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甘天文一行赴新平县调研人社工作</w:t>
      </w: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方正小标宋_GBK" w:hAnsi="方正小标宋_GBK" w:eastAsia="方正小标宋_GBK" w:cs="方正小标宋_GBK"/>
          <w:sz w:val="44"/>
          <w:szCs w:val="44"/>
          <w:lang w:eastAsia="zh-CN"/>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drawing>
          <wp:anchor distT="0" distB="0" distL="114300" distR="114300" simplePos="0" relativeHeight="251661312" behindDoc="0" locked="0" layoutInCell="1" allowOverlap="1">
            <wp:simplePos x="0" y="0"/>
            <wp:positionH relativeFrom="column">
              <wp:posOffset>35560</wp:posOffset>
            </wp:positionH>
            <wp:positionV relativeFrom="paragraph">
              <wp:posOffset>1887220</wp:posOffset>
            </wp:positionV>
            <wp:extent cx="5568950" cy="2813050"/>
            <wp:effectExtent l="0" t="0" r="12700" b="6350"/>
            <wp:wrapTopAndBottom/>
            <wp:docPr id="1" name="图片 1" descr="微信图片_20210422092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10422092023"/>
                    <pic:cNvPicPr>
                      <a:picLocks noChangeAspect="1"/>
                    </pic:cNvPicPr>
                  </pic:nvPicPr>
                  <pic:blipFill>
                    <a:blip r:embed="rId5"/>
                    <a:stretch>
                      <a:fillRect/>
                    </a:stretch>
                  </pic:blipFill>
                  <pic:spPr>
                    <a:xfrm>
                      <a:off x="0" y="0"/>
                      <a:ext cx="5568950" cy="2813050"/>
                    </a:xfrm>
                    <a:prstGeom prst="rect">
                      <a:avLst/>
                    </a:prstGeom>
                  </pic:spPr>
                </pic:pic>
              </a:graphicData>
            </a:graphic>
          </wp:anchor>
        </w:drawing>
      </w:r>
      <w:r>
        <w:rPr>
          <w:rFonts w:hint="eastAsia" w:ascii="方正仿宋_GBK" w:hAnsi="方正仿宋_GBK" w:eastAsia="方正仿宋_GBK" w:cs="方正仿宋_GBK"/>
          <w:sz w:val="32"/>
          <w:szCs w:val="32"/>
          <w:lang w:eastAsia="zh-CN"/>
        </w:rPr>
        <w:t>4月</w:t>
      </w:r>
      <w:r>
        <w:rPr>
          <w:rFonts w:hint="eastAsia" w:ascii="方正仿宋_GBK" w:hAnsi="方正仿宋_GBK" w:eastAsia="方正仿宋_GBK" w:cs="方正仿宋_GBK"/>
          <w:sz w:val="32"/>
          <w:szCs w:val="32"/>
          <w:lang w:val="en-US" w:eastAsia="zh-CN"/>
        </w:rPr>
        <w:t>21</w:t>
      </w:r>
      <w:r>
        <w:rPr>
          <w:rFonts w:hint="eastAsia" w:ascii="方正仿宋_GBK" w:hAnsi="方正仿宋_GBK" w:eastAsia="方正仿宋_GBK" w:cs="方正仿宋_GBK"/>
          <w:sz w:val="32"/>
          <w:szCs w:val="32"/>
          <w:lang w:eastAsia="zh-CN"/>
        </w:rPr>
        <w:t>日，省人力资源和社会保障厅党组成员甘天文一行三人赴新平县调研人社工作，实地走访了戛洒花腰田间、戛洒镇党群服务中心和力高箱包有限公司，深入了解企业用工、技能人才培养、</w:t>
      </w:r>
      <w:r>
        <w:rPr>
          <w:rFonts w:hint="eastAsia" w:ascii="仿宋_GB2312" w:hAnsi="仿宋_GB2312" w:eastAsia="仿宋_GB2312" w:cs="仿宋_GB2312"/>
          <w:sz w:val="32"/>
          <w:szCs w:val="32"/>
          <w:lang w:val="en-US" w:eastAsia="zh-CN"/>
        </w:rPr>
        <w:t>农村劳动力转移就业和“互联网+政务服务”等工作情况。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在戛洒镇党群服务中心，甘天文与县政协副主席、戛洒镇党委书记龙家寿进行了深入交流，在认真听取了戛洒镇党群服务中心建设情况、服务模式和“互联网+政务服务”等情况介绍后，对新平县打造建设布局合理、功能完备、互联互通的党群服务中心工作给予了充分肯定。他强调，新平县人社局要按照“全数据共享、全服务上网、全业务用卡”的总体要求，加快推动人力资源社会保障各领域信息化建设数字化转型，促进“一网通办”“最多跑一次”“打包办”“掌上办”等服务模式普遍应用，为企业和群众提供便捷高效的民生保障服务。</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drawing>
          <wp:anchor distT="0" distB="0" distL="114300" distR="114300" simplePos="0" relativeHeight="251662336" behindDoc="0" locked="0" layoutInCell="1" allowOverlap="1">
            <wp:simplePos x="0" y="0"/>
            <wp:positionH relativeFrom="column">
              <wp:posOffset>45720</wp:posOffset>
            </wp:positionH>
            <wp:positionV relativeFrom="paragraph">
              <wp:posOffset>1905</wp:posOffset>
            </wp:positionV>
            <wp:extent cx="5557520" cy="3538855"/>
            <wp:effectExtent l="0" t="0" r="5080" b="4445"/>
            <wp:wrapTopAndBottom/>
            <wp:docPr id="2" name="图片 2" descr="微信图片_202104220919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210422091955"/>
                    <pic:cNvPicPr>
                      <a:picLocks noChangeAspect="1"/>
                    </pic:cNvPicPr>
                  </pic:nvPicPr>
                  <pic:blipFill>
                    <a:blip r:embed="rId6"/>
                    <a:stretch>
                      <a:fillRect/>
                    </a:stretch>
                  </pic:blipFill>
                  <pic:spPr>
                    <a:xfrm>
                      <a:off x="0" y="0"/>
                      <a:ext cx="5557520" cy="3538855"/>
                    </a:xfrm>
                    <a:prstGeom prst="rect">
                      <a:avLst/>
                    </a:prstGeom>
                  </pic:spPr>
                </pic:pic>
              </a:graphicData>
            </a:graphic>
          </wp:anchor>
        </w:drawing>
      </w:r>
      <w:r>
        <w:rPr>
          <w:rFonts w:hint="eastAsia" w:ascii="仿宋_GB2312" w:hAnsi="仿宋_GB2312" w:eastAsia="仿宋_GB2312" w:cs="仿宋_GB2312"/>
          <w:sz w:val="32"/>
          <w:szCs w:val="32"/>
          <w:lang w:val="en-US" w:eastAsia="zh-CN"/>
        </w:rPr>
        <w:t>来到力高箱包有限公司，甘天文详细询问企业用工需求、工人工资收入以及人社领域援企稳岗系列补贴政策落实兑现等情况。他要求，新平县是人力资源大县，要继续奋斗，持续抓实就业创业、农村劳动力转移就业、技能提升培训等工作。要始终坚持“人才是第一资源”的思想战略，不断提升人才服务能力，大力培育民族文化人才、乡土人才，优化人才结构，实现人才引领。(杨娇供稿）</w:t>
      </w:r>
    </w:p>
    <w:sectPr>
      <w:pgSz w:w="11906" w:h="16838"/>
      <w:pgMar w:top="2041" w:right="1474" w:bottom="1304" w:left="1587" w:header="1361" w:footer="1191"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136D55"/>
    <w:rsid w:val="02BB288C"/>
    <w:rsid w:val="073D075A"/>
    <w:rsid w:val="0B402BAF"/>
    <w:rsid w:val="10D74F4A"/>
    <w:rsid w:val="15E225C9"/>
    <w:rsid w:val="188C6FB7"/>
    <w:rsid w:val="18BE30F5"/>
    <w:rsid w:val="18C46B83"/>
    <w:rsid w:val="1A151B69"/>
    <w:rsid w:val="1E746394"/>
    <w:rsid w:val="1EC642DA"/>
    <w:rsid w:val="1FB044F7"/>
    <w:rsid w:val="20425E62"/>
    <w:rsid w:val="20C81E8C"/>
    <w:rsid w:val="214B2A1E"/>
    <w:rsid w:val="2230272B"/>
    <w:rsid w:val="2322017F"/>
    <w:rsid w:val="23A1724D"/>
    <w:rsid w:val="2465614E"/>
    <w:rsid w:val="2D2629D8"/>
    <w:rsid w:val="2DE6131D"/>
    <w:rsid w:val="2F2D2154"/>
    <w:rsid w:val="2F5F1A91"/>
    <w:rsid w:val="344337F5"/>
    <w:rsid w:val="35315AFB"/>
    <w:rsid w:val="36006832"/>
    <w:rsid w:val="372D3312"/>
    <w:rsid w:val="37744B60"/>
    <w:rsid w:val="3A815D64"/>
    <w:rsid w:val="3B7E1C8D"/>
    <w:rsid w:val="3D7C5584"/>
    <w:rsid w:val="3F0B2E5E"/>
    <w:rsid w:val="424F3B8B"/>
    <w:rsid w:val="43B55CF6"/>
    <w:rsid w:val="44504C25"/>
    <w:rsid w:val="49821E84"/>
    <w:rsid w:val="4A311FD9"/>
    <w:rsid w:val="4CB05A10"/>
    <w:rsid w:val="4CDF48E9"/>
    <w:rsid w:val="4E010A13"/>
    <w:rsid w:val="502E61B4"/>
    <w:rsid w:val="5126641F"/>
    <w:rsid w:val="522045DD"/>
    <w:rsid w:val="530372E5"/>
    <w:rsid w:val="592D4E12"/>
    <w:rsid w:val="59DE5EA4"/>
    <w:rsid w:val="5C473103"/>
    <w:rsid w:val="5C9B6B2C"/>
    <w:rsid w:val="60B849DF"/>
    <w:rsid w:val="643964E9"/>
    <w:rsid w:val="645243E2"/>
    <w:rsid w:val="649B70C0"/>
    <w:rsid w:val="66E00B59"/>
    <w:rsid w:val="682B06BC"/>
    <w:rsid w:val="6A5C4CA7"/>
    <w:rsid w:val="71AD014D"/>
    <w:rsid w:val="72C52A4D"/>
    <w:rsid w:val="75D02951"/>
    <w:rsid w:val="76676905"/>
    <w:rsid w:val="77613ABE"/>
    <w:rsid w:val="79062C68"/>
    <w:rsid w:val="793B2B55"/>
    <w:rsid w:val="79A574E8"/>
    <w:rsid w:val="7A321482"/>
    <w:rsid w:val="7BBA337A"/>
    <w:rsid w:val="7BF71D0C"/>
    <w:rsid w:val="7BF80607"/>
    <w:rsid w:val="7ED70B2E"/>
    <w:rsid w:val="7F7E6BF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customStyle="1" w:styleId="2">
    <w:name w:val="正文首行缩进 21"/>
    <w:basedOn w:val="1"/>
    <w:qFormat/>
    <w:uiPriority w:val="99"/>
    <w:pPr>
      <w:spacing w:before="100" w:beforeAutospacing="1" w:after="120"/>
      <w:ind w:left="200" w:leftChars="200" w:firstLine="420"/>
    </w:pPr>
    <w:rPr>
      <w:kern w:val="0"/>
      <w:sz w:val="28"/>
      <w:szCs w:val="2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40404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Administrator.SKY-20190307DCJ</dc:creator>
  <cp:lastModifiedBy>人社局文印室</cp:lastModifiedBy>
  <dcterms:modified xsi:type="dcterms:W3CDTF">2021-04-22T03:17:07Z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