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847" w:type="dxa"/>
        <w:tblInd w:w="0" w:type="dxa"/>
        <w:tblBorders>
          <w:top w:val="none" w:color="auto" w:sz="0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"/>
        <w:gridCol w:w="4200"/>
        <w:gridCol w:w="4465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1230" w:hRule="exact"/>
        </w:trPr>
        <w:tc>
          <w:tcPr>
            <w:tcW w:w="4382" w:type="dxa"/>
            <w:gridSpan w:val="2"/>
          </w:tcPr>
          <w:p>
            <w:pPr>
              <w:snapToGrid w:val="0"/>
              <w:rPr>
                <w:sz w:val="30"/>
                <w:szCs w:val="30"/>
              </w:rPr>
            </w:pPr>
          </w:p>
        </w:tc>
        <w:tc>
          <w:tcPr>
            <w:tcW w:w="4465" w:type="dxa"/>
          </w:tcPr>
          <w:p>
            <w:pPr>
              <w:pStyle w:val="14"/>
              <w:tabs>
                <w:tab w:val="left" w:pos="3393"/>
                <w:tab w:val="left" w:pos="3732"/>
              </w:tabs>
              <w:ind w:firstLine="3488" w:firstLineChars="1090"/>
              <w:rPr>
                <w:rFonts w:ascii="仿宋_GB2312"/>
              </w:rPr>
            </w:pPr>
            <w:bookmarkStart w:id="0" w:name="PrivateLevel"/>
            <w:bookmarkEnd w:id="0"/>
            <w:bookmarkStart w:id="1" w:name="PrivateTime"/>
            <w:bookmarkEnd w:id="1"/>
            <w:r>
              <w:tab/>
            </w:r>
          </w:p>
          <w:p>
            <w:pPr>
              <w:pStyle w:val="14"/>
              <w:tabs>
                <w:tab w:val="left" w:pos="3732"/>
              </w:tabs>
              <w:ind w:firstLine="3488" w:firstLineChars="109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exact"/>
        </w:trPr>
        <w:tc>
          <w:tcPr>
            <w:tcW w:w="8847" w:type="dxa"/>
            <w:gridSpan w:val="3"/>
          </w:tcPr>
          <w:p>
            <w:pPr>
              <w:pStyle w:val="14"/>
              <w:tabs>
                <w:tab w:val="left" w:pos="3110"/>
              </w:tabs>
              <w:jc w:val="both"/>
            </w:pPr>
            <w:bookmarkStart w:id="2" w:name="Urgent"/>
            <w:bookmarkEnd w:id="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2" w:hRule="exact"/>
        </w:trPr>
        <w:tc>
          <w:tcPr>
            <w:tcW w:w="182" w:type="dxa"/>
            <w:vAlign w:val="center"/>
          </w:tcPr>
          <w:p>
            <w:pPr>
              <w:ind w:left="85" w:right="85"/>
              <w:jc w:val="distribute"/>
              <w:rPr>
                <w:rFonts w:ascii="方正小标宋简体" w:hAnsi="华文中宋" w:eastAsia="方正小标宋简体"/>
                <w:color w:val="FF0000"/>
                <w:w w:val="80"/>
                <w:sz w:val="108"/>
                <w:szCs w:val="108"/>
              </w:rPr>
            </w:pPr>
          </w:p>
        </w:tc>
        <w:tc>
          <w:tcPr>
            <w:tcW w:w="8665" w:type="dxa"/>
            <w:gridSpan w:val="2"/>
            <w:vAlign w:val="center"/>
          </w:tcPr>
          <w:p>
            <w:pPr>
              <w:ind w:left="85" w:right="85"/>
              <w:jc w:val="distribute"/>
              <w:rPr>
                <w:rFonts w:ascii="方正小标宋简体" w:hAnsi="华文中宋" w:eastAsia="方正小标宋简体"/>
                <w:color w:val="FF0000"/>
                <w:w w:val="80"/>
                <w:sz w:val="108"/>
                <w:szCs w:val="108"/>
              </w:rPr>
            </w:pPr>
            <w:bookmarkStart w:id="3" w:name="repHong"/>
            <w:r>
              <w:rPr>
                <w:rFonts w:hint="eastAsia" w:ascii="方正小标宋简体" w:hAnsi="华文中宋" w:eastAsia="方正小标宋简体"/>
                <w:color w:val="FF0000"/>
                <w:w w:val="80"/>
                <w:sz w:val="108"/>
                <w:szCs w:val="108"/>
              </w:rPr>
              <w:t>云南省财政厅文件</w:t>
            </w:r>
            <w:bookmarkEnd w:id="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5" w:hRule="exact"/>
        </w:trPr>
        <w:tc>
          <w:tcPr>
            <w:tcW w:w="8847" w:type="dxa"/>
            <w:gridSpan w:val="3"/>
          </w:tcPr>
          <w:p>
            <w:pPr>
              <w:tabs>
                <w:tab w:val="left" w:pos="5291"/>
              </w:tabs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</w:trPr>
        <w:tc>
          <w:tcPr>
            <w:tcW w:w="8847" w:type="dxa"/>
            <w:gridSpan w:val="3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bookmarkStart w:id="4" w:name="文号"/>
            <w:bookmarkEnd w:id="4"/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云财行〔2020〕83号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" w:hRule="exact"/>
        </w:trPr>
        <w:tc>
          <w:tcPr>
            <w:tcW w:w="8847" w:type="dxa"/>
            <w:gridSpan w:val="3"/>
          </w:tcPr>
          <w:p>
            <w:pPr>
              <w:jc w:val="center"/>
            </w:pPr>
          </w:p>
        </w:tc>
      </w:tr>
    </w:tbl>
    <w:p>
      <w:pPr>
        <w:sectPr>
          <w:footerReference r:id="rId3" w:type="default"/>
          <w:footerReference r:id="rId4" w:type="even"/>
          <w:type w:val="continuous"/>
          <w:pgSz w:w="11906" w:h="16838"/>
          <w:pgMar w:top="2098" w:right="1474" w:bottom="1984" w:left="1587" w:header="851" w:footer="1474" w:gutter="0"/>
          <w:cols w:space="720" w:num="1"/>
          <w:docGrid w:linePitch="573" w:charSpace="0"/>
        </w:sectPr>
      </w:pPr>
    </w:p>
    <w:p>
      <w:pPr>
        <w:snapToGrid w:val="0"/>
        <w:spacing w:line="540" w:lineRule="exact"/>
        <w:jc w:val="center"/>
        <w:rPr>
          <w:rFonts w:ascii="仿宋_GB2312" w:hAnsi="华文中宋"/>
          <w:spacing w:val="14"/>
          <w:sz w:val="30"/>
          <w:szCs w:val="30"/>
        </w:rPr>
      </w:pPr>
    </w:p>
    <w:p>
      <w:pPr>
        <w:snapToGrid w:val="0"/>
        <w:spacing w:line="540" w:lineRule="exact"/>
        <w:jc w:val="center"/>
        <w:rPr>
          <w:rFonts w:ascii="仿宋_GB2312" w:hAnsi="华文中宋"/>
          <w:spacing w:val="14"/>
          <w:sz w:val="30"/>
          <w:szCs w:val="30"/>
        </w:rPr>
      </w:pPr>
    </w:p>
    <w:p>
      <w:pPr>
        <w:snapToGrid w:val="0"/>
        <w:spacing w:line="590" w:lineRule="exact"/>
        <w:jc w:val="center"/>
        <w:rPr>
          <w:rFonts w:hint="eastAsia" w:ascii="方正小标宋简体" w:hAnsi="华文中宋" w:eastAsia="方正小标宋简体"/>
          <w:spacing w:val="14"/>
          <w:sz w:val="40"/>
          <w:szCs w:val="40"/>
          <w:lang w:eastAsia="zh-CN"/>
        </w:rPr>
      </w:pPr>
      <w:bookmarkStart w:id="5" w:name="标题"/>
      <w:bookmarkEnd w:id="5"/>
      <w:r>
        <w:rPr>
          <w:rFonts w:hint="eastAsia" w:ascii="方正小标宋简体" w:hAnsi="华文中宋" w:eastAsia="方正小标宋简体"/>
          <w:spacing w:val="14"/>
          <w:sz w:val="40"/>
          <w:szCs w:val="40"/>
          <w:lang w:eastAsia="zh-CN"/>
        </w:rPr>
        <w:t>云南省财政厅关于云南省审计厅</w:t>
      </w:r>
    </w:p>
    <w:p>
      <w:pPr>
        <w:snapToGrid w:val="0"/>
        <w:spacing w:line="590" w:lineRule="exact"/>
        <w:jc w:val="center"/>
        <w:rPr>
          <w:rFonts w:hint="eastAsia" w:ascii="方正小标宋简体" w:hAnsi="华文中宋" w:eastAsia="方正小标宋简体"/>
          <w:spacing w:val="14"/>
          <w:sz w:val="40"/>
          <w:szCs w:val="40"/>
          <w:lang w:eastAsia="zh-CN"/>
        </w:rPr>
      </w:pPr>
      <w:r>
        <w:rPr>
          <w:rFonts w:hint="eastAsia" w:ascii="方正小标宋简体" w:hAnsi="华文中宋" w:eastAsia="方正小标宋简体"/>
          <w:spacing w:val="14"/>
          <w:sz w:val="40"/>
          <w:szCs w:val="40"/>
          <w:lang w:eastAsia="zh-CN"/>
        </w:rPr>
        <w:t>2020年部门预算的批复</w:t>
      </w:r>
    </w:p>
    <w:p>
      <w:pPr>
        <w:spacing w:line="360" w:lineRule="exact"/>
        <w:rPr>
          <w:rFonts w:ascii="仿宋_GB2312"/>
          <w:spacing w:val="14"/>
          <w:sz w:val="30"/>
          <w:szCs w:val="30"/>
        </w:rPr>
      </w:pP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pacing w:val="14"/>
          <w:sz w:val="30"/>
          <w:szCs w:val="30"/>
          <w:lang w:eastAsia="zh-CN"/>
        </w:rPr>
      </w:pPr>
      <w:bookmarkStart w:id="6" w:name="主送单位"/>
      <w:bookmarkEnd w:id="6"/>
      <w:r>
        <w:rPr>
          <w:rFonts w:hint="eastAsia" w:ascii="仿宋_GB2312" w:hAnsi="仿宋_GB2312" w:eastAsia="仿宋_GB2312" w:cs="仿宋_GB2312"/>
          <w:spacing w:val="14"/>
          <w:sz w:val="30"/>
          <w:szCs w:val="30"/>
          <w:lang w:eastAsia="zh-CN"/>
        </w:rPr>
        <w:t>云南省审计厅：</w:t>
      </w:r>
    </w:p>
    <w:p>
      <w:pPr>
        <w:spacing w:after="0" w:line="590" w:lineRule="exact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bookmarkStart w:id="7" w:name="正文文件"/>
      <w:bookmarkEnd w:id="7"/>
      <w:bookmarkStart w:id="8" w:name="正文开始"/>
      <w:bookmarkEnd w:id="8"/>
      <w:r>
        <w:rPr>
          <w:rFonts w:hint="eastAsia" w:ascii="仿宋_GB2312" w:hAnsi="仿宋_GB2312" w:eastAsia="仿宋_GB2312" w:cs="仿宋_GB2312"/>
          <w:sz w:val="30"/>
          <w:szCs w:val="30"/>
        </w:rPr>
        <w:t>2020年省本级财政收支预算，已经省十三届人民代表大会第三次会议审查批准。根据《中华人民共和国预算法》的规定，现将你部门2020年收入和支出预算批复如下：</w:t>
      </w:r>
    </w:p>
    <w:p>
      <w:pPr>
        <w:pStyle w:val="4"/>
        <w:adjustRightInd w:val="0"/>
        <w:spacing w:after="0" w:line="590" w:lineRule="exact"/>
        <w:ind w:firstLine="600" w:firstLineChars="200"/>
        <w:rPr>
          <w:rFonts w:hint="eastAsia" w:ascii="黑体" w:hAnsi="黑体" w:eastAsia="黑体" w:cs="黑体"/>
          <w:kern w:val="2"/>
          <w:sz w:val="30"/>
          <w:szCs w:val="30"/>
        </w:rPr>
      </w:pPr>
      <w:r>
        <w:rPr>
          <w:rFonts w:hint="eastAsia" w:ascii="黑体" w:hAnsi="黑体" w:eastAsia="黑体" w:cs="黑体"/>
          <w:kern w:val="2"/>
          <w:sz w:val="30"/>
          <w:szCs w:val="30"/>
        </w:rPr>
        <w:t>一、2020年部门收支预算数</w:t>
      </w:r>
    </w:p>
    <w:p>
      <w:pPr>
        <w:spacing w:after="0" w:line="590" w:lineRule="exact"/>
        <w:ind w:firstLine="600" w:firstLineChars="20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你部门2020 年财务总收入102,686.78万元，其中：一般公共预算财政拨款102,537.78万元，其他收入149.00万元。</w:t>
      </w:r>
    </w:p>
    <w:p>
      <w:pPr>
        <w:spacing w:after="0" w:line="590" w:lineRule="exact"/>
        <w:ind w:firstLine="600" w:firstLineChars="20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你部门2020年财政拨款收入102,537.78万元，其中：本年收入 101,866.83万元，上年结转收入670.95万元。本年收入中，一般公共预算财政拨款 101,866.83万元（本级财力95,852.57万元，执法办案补助5,905.36万元，国有资源（资产）有偿使用收入成本补偿108.90万元）。</w:t>
      </w:r>
    </w:p>
    <w:p>
      <w:pPr>
        <w:spacing w:after="0" w:line="590" w:lineRule="exact"/>
        <w:ind w:firstLine="600" w:firstLineChars="20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你部门支出预算总额为102,686.78万元，其中：本级财力安排的支出95,852.57万元（其中：基本支出72,398.55万元，已预拨36,627.84万元，抵扣上年垫付资金16.89万元；项目支出23,454.02万元），执法办案补助5,905.36万元，国有资源（资产）有偿使用收入成本补偿108.90万元，其他收入安排的支出149.00万元，上年结转安排的支出670.95万元。</w:t>
      </w:r>
    </w:p>
    <w:p>
      <w:pPr>
        <w:spacing w:after="0" w:line="590" w:lineRule="exact"/>
        <w:ind w:firstLine="600" w:firstLineChars="20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具体预算详见附件。</w:t>
      </w:r>
    </w:p>
    <w:p>
      <w:pPr>
        <w:pStyle w:val="4"/>
        <w:adjustRightInd w:val="0"/>
        <w:spacing w:after="0" w:line="590" w:lineRule="exact"/>
        <w:ind w:firstLine="600" w:firstLineChars="200"/>
        <w:rPr>
          <w:rFonts w:hint="eastAsia" w:ascii="黑体" w:hAnsi="黑体" w:eastAsia="黑体" w:cs="黑体"/>
          <w:kern w:val="2"/>
          <w:sz w:val="30"/>
          <w:szCs w:val="30"/>
        </w:rPr>
      </w:pPr>
      <w:r>
        <w:rPr>
          <w:rFonts w:hint="eastAsia" w:ascii="黑体" w:hAnsi="黑体" w:eastAsia="黑体" w:cs="黑体"/>
          <w:kern w:val="2"/>
          <w:sz w:val="30"/>
          <w:szCs w:val="30"/>
        </w:rPr>
        <w:t>二、需要说明的事项</w:t>
      </w:r>
    </w:p>
    <w:p>
      <w:pPr>
        <w:pStyle w:val="4"/>
        <w:adjustRightInd w:val="0"/>
        <w:spacing w:after="0" w:line="590" w:lineRule="exact"/>
        <w:ind w:firstLine="600" w:firstLineChars="200"/>
        <w:rPr>
          <w:rFonts w:hint="eastAsia" w:ascii="楷体_GB2312" w:hAnsi="楷体_GB2312" w:eastAsia="楷体_GB2312" w:cs="楷体_GB2312"/>
          <w:kern w:val="2"/>
          <w:sz w:val="30"/>
          <w:szCs w:val="30"/>
        </w:rPr>
      </w:pPr>
      <w:r>
        <w:rPr>
          <w:rFonts w:hint="eastAsia" w:ascii="楷体_GB2312" w:hAnsi="楷体_GB2312" w:eastAsia="楷体_GB2312" w:cs="楷体_GB2312"/>
          <w:kern w:val="2"/>
          <w:sz w:val="30"/>
          <w:szCs w:val="30"/>
        </w:rPr>
        <w:t>（一）基本支出预算</w:t>
      </w:r>
    </w:p>
    <w:p>
      <w:pPr>
        <w:pStyle w:val="4"/>
        <w:adjustRightInd w:val="0"/>
        <w:spacing w:after="0" w:line="590" w:lineRule="exact"/>
        <w:ind w:firstLine="600" w:firstLineChars="200"/>
        <w:rPr>
          <w:rFonts w:ascii="仿宋_GB2312" w:hAnsi="仿宋_GB2312" w:cs="仿宋_GB2312"/>
          <w:kern w:val="2"/>
          <w:sz w:val="30"/>
          <w:szCs w:val="30"/>
        </w:rPr>
      </w:pPr>
      <w:r>
        <w:rPr>
          <w:rFonts w:ascii="仿宋_GB2312" w:hAnsi="仿宋_GB2312" w:cs="仿宋_GB2312"/>
          <w:kern w:val="2"/>
          <w:sz w:val="30"/>
          <w:szCs w:val="30"/>
        </w:rPr>
        <w:t xml:space="preserve"> 1.此次批复的基本支出预算，是依据2019年10月纳入省级预算单位基础信息库中的基础信息，根据组织、人社部门相关工资政策和基本支出定额标准核定的，含部门转隶纪检人员公用经费和部门预算机动经费。按照《云南省人民政府办公厅关于筹措新增专项扶贫资金有关事项的通知》（云政办发〔2015〕109号）规定，2020年继续按照10%的比例统一压缩省直各部门公用经费用于增加专项扶贫资金；年度执行中，正常增加财政供养人员原则上不再增加公用经费。</w:t>
      </w:r>
    </w:p>
    <w:p>
      <w:pPr>
        <w:pStyle w:val="4"/>
        <w:adjustRightInd w:val="0"/>
        <w:spacing w:after="0" w:line="590" w:lineRule="exact"/>
        <w:ind w:firstLine="600" w:firstLineChars="200"/>
        <w:rPr>
          <w:rFonts w:ascii="仿宋_GB2312" w:hAnsi="仿宋_GB2312" w:cs="仿宋_GB2312"/>
          <w:kern w:val="2"/>
          <w:sz w:val="30"/>
          <w:szCs w:val="30"/>
        </w:rPr>
      </w:pPr>
      <w:r>
        <w:rPr>
          <w:rFonts w:ascii="仿宋_GB2312" w:hAnsi="仿宋_GB2312" w:cs="仿宋_GB2312"/>
          <w:kern w:val="2"/>
          <w:sz w:val="30"/>
          <w:szCs w:val="30"/>
        </w:rPr>
        <w:t>2.行政事业单位离休经费、医疗经费实行归口管理，此次批复你部门的基本支出预算不包括此项经费，归口管理经费将按相关规定另文下达。</w:t>
      </w:r>
    </w:p>
    <w:p>
      <w:pPr>
        <w:pStyle w:val="4"/>
        <w:adjustRightInd w:val="0"/>
        <w:spacing w:after="0" w:line="590" w:lineRule="exact"/>
        <w:ind w:firstLine="600" w:firstLineChars="200"/>
        <w:rPr>
          <w:rFonts w:ascii="仿宋_GB2312" w:hAnsi="仿宋_GB2312" w:cs="仿宋_GB2312"/>
          <w:kern w:val="2"/>
          <w:sz w:val="30"/>
          <w:szCs w:val="30"/>
        </w:rPr>
      </w:pPr>
      <w:r>
        <w:rPr>
          <w:rFonts w:ascii="仿宋_GB2312" w:hAnsi="仿宋_GB2312" w:cs="仿宋_GB2312"/>
          <w:kern w:val="2"/>
          <w:sz w:val="30"/>
          <w:szCs w:val="30"/>
        </w:rPr>
        <w:t>3.由省级财政负担的基本养老保险费单位缴费按比例测算，职业年金记实资金按有关部门审批情况，均已列入你部门预算，由单位按相关规定申报缴纳和清算。个人缴费部分由单位按规定从个人工资中代扣代缴。</w:t>
      </w:r>
    </w:p>
    <w:p>
      <w:pPr>
        <w:pStyle w:val="4"/>
        <w:adjustRightInd w:val="0"/>
        <w:spacing w:after="0" w:line="590" w:lineRule="exact"/>
        <w:ind w:firstLine="600" w:firstLineChars="200"/>
        <w:rPr>
          <w:rFonts w:hint="eastAsia" w:ascii="楷体_GB2312" w:hAnsi="楷体_GB2312" w:eastAsia="楷体_GB2312" w:cs="楷体_GB2312"/>
          <w:kern w:val="2"/>
          <w:sz w:val="30"/>
          <w:szCs w:val="30"/>
        </w:rPr>
      </w:pPr>
      <w:r>
        <w:rPr>
          <w:rFonts w:hint="eastAsia" w:ascii="楷体_GB2312" w:hAnsi="楷体_GB2312" w:eastAsia="楷体_GB2312" w:cs="楷体_GB2312"/>
          <w:kern w:val="2"/>
          <w:sz w:val="30"/>
          <w:szCs w:val="30"/>
        </w:rPr>
        <w:t>（二）项目支出预算</w:t>
      </w:r>
    </w:p>
    <w:p>
      <w:pPr>
        <w:pStyle w:val="4"/>
        <w:adjustRightInd w:val="0"/>
        <w:spacing w:after="0" w:line="590" w:lineRule="exact"/>
        <w:ind w:firstLine="600" w:firstLineChars="200"/>
        <w:rPr>
          <w:rFonts w:ascii="仿宋_GB2312" w:hAnsi="仿宋_GB2312" w:cs="仿宋_GB2312"/>
          <w:kern w:val="2"/>
          <w:sz w:val="30"/>
          <w:szCs w:val="30"/>
        </w:rPr>
      </w:pPr>
      <w:r>
        <w:rPr>
          <w:rFonts w:ascii="仿宋_GB2312" w:hAnsi="仿宋_GB2312" w:cs="仿宋_GB2312"/>
          <w:kern w:val="2"/>
          <w:sz w:val="30"/>
          <w:szCs w:val="30"/>
        </w:rPr>
        <w:t>1.你部门要严格执行年初批复的预算，结合年度工作任务，科学合理安排支出，不得随意调整，确保专款专用。</w:t>
      </w:r>
    </w:p>
    <w:p>
      <w:pPr>
        <w:pStyle w:val="4"/>
        <w:adjustRightInd w:val="0"/>
        <w:spacing w:after="0" w:line="590" w:lineRule="exact"/>
        <w:ind w:firstLine="600" w:firstLineChars="200"/>
        <w:rPr>
          <w:rFonts w:ascii="仿宋_GB2312" w:hAnsi="仿宋_GB2312" w:cs="仿宋_GB2312"/>
          <w:kern w:val="2"/>
          <w:sz w:val="30"/>
          <w:szCs w:val="30"/>
        </w:rPr>
      </w:pPr>
      <w:r>
        <w:rPr>
          <w:rFonts w:ascii="仿宋_GB2312" w:hAnsi="仿宋_GB2312" w:cs="仿宋_GB2312"/>
          <w:kern w:val="2"/>
          <w:sz w:val="30"/>
          <w:szCs w:val="30"/>
        </w:rPr>
        <w:t>2.加强项目资金管理。项目资金应优先统筹用于中央和省委省政府确定的重点项目上。要加强对项目资金情况的监督检查，实行跟踪问效，确保资金安全使用。要建立和不断完善本部门项目库，做好项目的审核、论证、遴选及排序工作，将支出政策已经明确的项目和符合条件的项目，及时纳入项目库储备和管理，为编制好以后年度预算做好准备。</w:t>
      </w:r>
    </w:p>
    <w:p>
      <w:pPr>
        <w:pStyle w:val="4"/>
        <w:adjustRightInd w:val="0"/>
        <w:spacing w:after="0" w:line="590" w:lineRule="exact"/>
        <w:ind w:firstLine="600" w:firstLineChars="200"/>
        <w:rPr>
          <w:rFonts w:hint="eastAsia" w:ascii="楷体_GB2312" w:hAnsi="楷体_GB2312" w:eastAsia="楷体_GB2312" w:cs="楷体_GB2312"/>
          <w:kern w:val="2"/>
          <w:sz w:val="30"/>
          <w:szCs w:val="30"/>
        </w:rPr>
      </w:pPr>
      <w:r>
        <w:rPr>
          <w:rFonts w:hint="eastAsia" w:ascii="楷体_GB2312" w:hAnsi="楷体_GB2312" w:eastAsia="楷体_GB2312" w:cs="楷体_GB2312"/>
          <w:kern w:val="2"/>
          <w:sz w:val="30"/>
          <w:szCs w:val="30"/>
        </w:rPr>
        <w:t>（三）省对下转移支付预算</w:t>
      </w:r>
    </w:p>
    <w:p>
      <w:pPr>
        <w:pStyle w:val="4"/>
        <w:adjustRightInd w:val="0"/>
        <w:spacing w:after="0" w:line="590" w:lineRule="exact"/>
        <w:ind w:firstLine="600" w:firstLineChars="200"/>
        <w:rPr>
          <w:rFonts w:ascii="仿宋_GB2312" w:hAnsi="仿宋_GB2312" w:cs="仿宋_GB2312"/>
          <w:kern w:val="2"/>
          <w:sz w:val="30"/>
          <w:szCs w:val="30"/>
        </w:rPr>
      </w:pPr>
      <w:r>
        <w:rPr>
          <w:rFonts w:hint="eastAsia" w:ascii="仿宋_GB2312" w:hAnsi="仿宋_GB2312" w:cs="仿宋_GB2312"/>
          <w:kern w:val="2"/>
          <w:sz w:val="30"/>
          <w:szCs w:val="30"/>
        </w:rPr>
        <w:t>除批复你部门预算之外，你部门</w:t>
      </w:r>
      <w:r>
        <w:rPr>
          <w:rFonts w:ascii="仿宋_GB2312" w:hAnsi="仿宋_GB2312" w:cs="仿宋_GB2312"/>
          <w:kern w:val="2"/>
          <w:sz w:val="30"/>
          <w:szCs w:val="30"/>
        </w:rPr>
        <w:t>2020年参与分配和管理的省对下转移支付项目见附</w:t>
      </w:r>
      <w:r>
        <w:rPr>
          <w:rFonts w:hint="eastAsia" w:ascii="仿宋_GB2312" w:hAnsi="仿宋_GB2312" w:cs="仿宋_GB2312"/>
          <w:kern w:val="2"/>
          <w:sz w:val="30"/>
          <w:szCs w:val="30"/>
          <w:lang w:eastAsia="zh-CN"/>
        </w:rPr>
        <w:t>表</w:t>
      </w:r>
      <w:r>
        <w:rPr>
          <w:rFonts w:ascii="仿宋_GB2312" w:hAnsi="仿宋_GB2312" w:cs="仿宋_GB2312"/>
          <w:kern w:val="2"/>
          <w:sz w:val="30"/>
          <w:szCs w:val="30"/>
        </w:rPr>
        <w:t>9。请认真组织做好项目前期工作，尽快提出相关项目分配方案，严格按照《中华人民共和国预算法》规定时限下达一般性转移支付和专项转移支付。</w:t>
      </w:r>
    </w:p>
    <w:p>
      <w:pPr>
        <w:pStyle w:val="4"/>
        <w:adjustRightInd w:val="0"/>
        <w:spacing w:after="0" w:line="590" w:lineRule="exact"/>
        <w:ind w:firstLine="600" w:firstLineChars="200"/>
        <w:rPr>
          <w:rFonts w:hint="eastAsia" w:ascii="黑体" w:hAnsi="黑体" w:eastAsia="黑体" w:cs="黑体"/>
          <w:kern w:val="2"/>
          <w:sz w:val="30"/>
          <w:szCs w:val="30"/>
        </w:rPr>
      </w:pPr>
      <w:r>
        <w:rPr>
          <w:rFonts w:hint="eastAsia" w:ascii="黑体" w:hAnsi="黑体" w:eastAsia="黑体" w:cs="黑体"/>
          <w:kern w:val="2"/>
          <w:sz w:val="30"/>
          <w:szCs w:val="30"/>
        </w:rPr>
        <w:t>三、对部门预算管理的要求</w:t>
      </w:r>
    </w:p>
    <w:p>
      <w:pPr>
        <w:pStyle w:val="4"/>
        <w:adjustRightInd w:val="0"/>
        <w:spacing w:after="0" w:line="590" w:lineRule="exact"/>
        <w:ind w:firstLine="600" w:firstLineChars="200"/>
        <w:rPr>
          <w:rFonts w:ascii="仿宋_GB2312" w:hAnsi="仿宋_GB2312" w:cs="仿宋_GB2312"/>
          <w:kern w:val="2"/>
          <w:sz w:val="30"/>
          <w:szCs w:val="30"/>
        </w:rPr>
      </w:pPr>
      <w:r>
        <w:rPr>
          <w:rFonts w:hint="eastAsia" w:ascii="仿宋_GB2312" w:hAnsi="仿宋_GB2312" w:cs="仿宋_GB2312"/>
          <w:kern w:val="2"/>
          <w:sz w:val="30"/>
          <w:szCs w:val="30"/>
        </w:rPr>
        <w:t>（一）持续深化零基预算。要认真贯彻落实省委省政府关于零基预算的决策部署，加强部门项目库管理，全面打破基数，部门申报项目不再以基数为起点，而是以中央和省委省政府保障政策为唯一依据纳入预算编制。</w:t>
      </w:r>
    </w:p>
    <w:p>
      <w:pPr>
        <w:pStyle w:val="4"/>
        <w:adjustRightInd w:val="0"/>
        <w:spacing w:after="0" w:line="590" w:lineRule="exact"/>
        <w:ind w:firstLine="600" w:firstLineChars="200"/>
        <w:rPr>
          <w:rFonts w:ascii="仿宋_GB2312" w:hAnsi="仿宋_GB2312" w:cs="仿宋_GB2312"/>
          <w:kern w:val="2"/>
          <w:sz w:val="30"/>
          <w:szCs w:val="30"/>
          <w:highlight w:val="none"/>
        </w:rPr>
      </w:pPr>
      <w:r>
        <w:rPr>
          <w:rFonts w:hint="eastAsia" w:ascii="仿宋_GB2312" w:hAnsi="仿宋_GB2312" w:cs="仿宋_GB2312"/>
          <w:kern w:val="2"/>
          <w:sz w:val="30"/>
          <w:szCs w:val="30"/>
        </w:rPr>
        <w:t>（二）硬化预算约束。要维护预算的严肃性，严格按照批复的</w:t>
      </w:r>
      <w:r>
        <w:rPr>
          <w:rFonts w:hint="eastAsia" w:ascii="仿宋_GB2312" w:hAnsi="仿宋_GB2312" w:cs="仿宋_GB2312"/>
          <w:kern w:val="2"/>
          <w:sz w:val="30"/>
          <w:szCs w:val="30"/>
          <w:highlight w:val="none"/>
        </w:rPr>
        <w:t>预算金额、科目、用途执行。年度执行中，应本着勤俭节约、精打细算的原则，统筹安排使用好各类资金，确保全年事业发展计划的实施。确需动用部门预算机动经费的，应详细列明申请项目、金额和政策依据等，报经分管副省长审批后转省财政厅审核下达，</w:t>
      </w:r>
      <w:r>
        <w:rPr>
          <w:rFonts w:ascii="仿宋_GB2312" w:hAnsi="仿宋_GB2312" w:cs="仿宋_GB2312"/>
          <w:kern w:val="2"/>
          <w:sz w:val="30"/>
          <w:szCs w:val="30"/>
          <w:highlight w:val="none"/>
        </w:rPr>
        <w:t>6月份以前原则上不得申请动用。</w:t>
      </w:r>
    </w:p>
    <w:p>
      <w:pPr>
        <w:pStyle w:val="4"/>
        <w:adjustRightInd w:val="0"/>
        <w:spacing w:after="0" w:line="590" w:lineRule="exact"/>
        <w:ind w:firstLine="600" w:firstLineChars="200"/>
        <w:rPr>
          <w:rFonts w:ascii="仿宋_GB2312" w:hAnsi="仿宋_GB2312" w:cs="仿宋_GB2312"/>
          <w:kern w:val="2"/>
          <w:sz w:val="30"/>
          <w:szCs w:val="30"/>
          <w:highlight w:val="none"/>
        </w:rPr>
      </w:pPr>
      <w:r>
        <w:rPr>
          <w:rFonts w:hint="eastAsia" w:ascii="仿宋_GB2312" w:hAnsi="仿宋_GB2312" w:cs="仿宋_GB2312"/>
          <w:kern w:val="2"/>
          <w:sz w:val="30"/>
          <w:szCs w:val="30"/>
          <w:highlight w:val="none"/>
        </w:rPr>
        <w:t>（三）规范经济分类科目的管理和使用。要按照批复的政府预算和部门预算经济分类科目执行预算，原则上不得调整。预算执行中如确需对政府预算经济分类科目的“类”级科目，以及涉及工资福利支出“款”级科目调剂的，各部门应当向财政部门提出申请，经财政部门批准后方可办理。</w:t>
      </w:r>
    </w:p>
    <w:p>
      <w:pPr>
        <w:pStyle w:val="4"/>
        <w:adjustRightInd w:val="0"/>
        <w:spacing w:after="0" w:line="590" w:lineRule="exact"/>
        <w:ind w:firstLine="600" w:firstLineChars="200"/>
        <w:rPr>
          <w:rFonts w:ascii="仿宋_GB2312" w:hAnsi="仿宋_GB2312" w:cs="仿宋_GB2312"/>
          <w:kern w:val="2"/>
          <w:sz w:val="30"/>
          <w:szCs w:val="30"/>
        </w:rPr>
      </w:pPr>
      <w:r>
        <w:rPr>
          <w:rFonts w:hint="eastAsia" w:ascii="仿宋_GB2312" w:hAnsi="仿宋_GB2312" w:cs="仿宋_GB2312"/>
          <w:kern w:val="2"/>
          <w:sz w:val="30"/>
          <w:szCs w:val="30"/>
        </w:rPr>
        <w:t>（四）加快预算执行进度。要加快项目前期准备，及时将分配下达的财政资金形成实物工作量，尽早发挥资金效益。同时，要牢固树立过“紧日子”思想，切实采取有效措施压减一般性支出，规范合理使用经费，并建立厉行节约规范化、常态化和长效化的机制。</w:t>
      </w:r>
    </w:p>
    <w:p>
      <w:pPr>
        <w:pStyle w:val="4"/>
        <w:adjustRightInd w:val="0"/>
        <w:spacing w:after="0" w:line="590" w:lineRule="exact"/>
        <w:ind w:firstLine="600" w:firstLineChars="200"/>
        <w:rPr>
          <w:rFonts w:ascii="仿宋_GB2312" w:hAnsi="仿宋_GB2312" w:cs="仿宋_GB2312"/>
          <w:kern w:val="2"/>
          <w:sz w:val="30"/>
          <w:szCs w:val="30"/>
          <w:highlight w:val="none"/>
        </w:rPr>
      </w:pPr>
      <w:r>
        <w:rPr>
          <w:rFonts w:hint="eastAsia" w:ascii="仿宋_GB2312" w:hAnsi="仿宋_GB2312" w:cs="仿宋_GB2312"/>
          <w:kern w:val="2"/>
          <w:sz w:val="30"/>
          <w:szCs w:val="30"/>
        </w:rPr>
        <w:t>（五）强化全过程绩效管理。本次批复的预算绩效目标已经省人代会审议通过，各部门要依据预算绩效目标对项目开展全过程预算绩效管理，因政策变化等因素确需调整绩效目标的，按程序报省财政厅审批。另文下达预算的绩效目标，应随同项目同步分解或下达。预算年度终了，各部门应开展绩效自评，按要求时限将绩效自评</w:t>
      </w:r>
      <w:r>
        <w:rPr>
          <w:rFonts w:hint="eastAsia" w:ascii="仿宋_GB2312" w:hAnsi="仿宋_GB2312" w:cs="仿宋_GB2312"/>
          <w:kern w:val="2"/>
          <w:sz w:val="30"/>
          <w:szCs w:val="30"/>
          <w:highlight w:val="none"/>
        </w:rPr>
        <w:t>报告反馈省财政厅。</w:t>
      </w:r>
    </w:p>
    <w:p>
      <w:pPr>
        <w:pStyle w:val="4"/>
        <w:adjustRightInd w:val="0"/>
        <w:spacing w:after="0" w:line="590" w:lineRule="exact"/>
        <w:ind w:firstLine="600" w:firstLineChars="200"/>
        <w:rPr>
          <w:rFonts w:ascii="仿宋_GB2312" w:hAnsi="仿宋_GB2312" w:cs="仿宋_GB2312"/>
          <w:kern w:val="2"/>
          <w:sz w:val="30"/>
          <w:szCs w:val="30"/>
          <w:highlight w:val="none"/>
        </w:rPr>
      </w:pPr>
      <w:r>
        <w:rPr>
          <w:rFonts w:hint="eastAsia" w:ascii="仿宋_GB2312" w:hAnsi="仿宋_GB2312" w:cs="仿宋_GB2312"/>
          <w:kern w:val="2"/>
          <w:sz w:val="30"/>
          <w:szCs w:val="30"/>
          <w:highlight w:val="none"/>
        </w:rPr>
        <w:t>（六）加强政府购买服务预算管理。列入政府购买服务预算的项目，购买主体要在预算批复</w:t>
      </w:r>
      <w:r>
        <w:rPr>
          <w:rFonts w:ascii="仿宋_GB2312" w:hAnsi="仿宋_GB2312" w:cs="仿宋_GB2312"/>
          <w:kern w:val="2"/>
          <w:sz w:val="30"/>
          <w:szCs w:val="30"/>
          <w:highlight w:val="none"/>
        </w:rPr>
        <w:t>30日内公布购买计划。购买计划包括购买项目名称、购买内容、拟开展购买的时间、对承接主体的要求、拟采用的购买方式及其他购买事项要求等六项内容。购买主体要严格按照政府购买服务有关规定和程序开展购买活动。根据《财政部关于坚决制止地方以政府购买服务名义违法违规融资的通知》（财预〔2017〕87号）及《云南省财政厅关于印发〈云南省政府购买服务禁止购买事项清单〉的通知》（云财综〔2018〕66号）等文件规定，不得将建筑物和构筑物的新建、改建</w:t>
      </w:r>
      <w:r>
        <w:rPr>
          <w:rFonts w:hint="eastAsia" w:ascii="仿宋_GB2312" w:hAnsi="仿宋_GB2312" w:cs="仿宋_GB2312"/>
          <w:kern w:val="2"/>
          <w:sz w:val="30"/>
          <w:szCs w:val="30"/>
          <w:highlight w:val="none"/>
        </w:rPr>
        <w:t>、扩建及其相关的装修、拆除、修缮等建设工程，原材料、燃料、设备、产品等货物购置，建设工程与服务打包项目，融资以及购买主体的人员聘用等作为政府购买服务项目。请你部门在具体实施过程中严格甄别政府购买服务范围，认真执行有关规定。</w:t>
      </w:r>
    </w:p>
    <w:p>
      <w:pPr>
        <w:pStyle w:val="4"/>
        <w:adjustRightInd w:val="0"/>
        <w:spacing w:after="0" w:line="590" w:lineRule="exact"/>
        <w:ind w:firstLine="600" w:firstLineChars="200"/>
        <w:rPr>
          <w:rFonts w:ascii="仿宋_GB2312" w:hAnsi="仿宋_GB2312" w:cs="仿宋_GB2312"/>
          <w:kern w:val="2"/>
          <w:sz w:val="30"/>
          <w:szCs w:val="30"/>
          <w:highlight w:val="none"/>
        </w:rPr>
      </w:pPr>
      <w:r>
        <w:rPr>
          <w:rFonts w:hint="eastAsia" w:ascii="仿宋_GB2312" w:hAnsi="仿宋_GB2312" w:cs="仿宋_GB2312"/>
          <w:kern w:val="2"/>
          <w:sz w:val="30"/>
          <w:szCs w:val="30"/>
          <w:highlight w:val="none"/>
        </w:rPr>
        <w:t>（七）加强新增资产配置管理。此次批复你单位</w:t>
      </w:r>
      <w:r>
        <w:rPr>
          <w:rFonts w:ascii="仿宋_GB2312" w:hAnsi="仿宋_GB2312" w:cs="仿宋_GB2312"/>
          <w:kern w:val="2"/>
          <w:sz w:val="30"/>
          <w:szCs w:val="30"/>
          <w:highlight w:val="none"/>
        </w:rPr>
        <w:t>2020年新增资产配置情况，详见附</w:t>
      </w:r>
      <w:r>
        <w:rPr>
          <w:rFonts w:hint="eastAsia" w:ascii="仿宋_GB2312" w:hAnsi="仿宋_GB2312" w:cs="仿宋_GB2312"/>
          <w:kern w:val="2"/>
          <w:sz w:val="30"/>
          <w:szCs w:val="30"/>
          <w:highlight w:val="none"/>
          <w:lang w:eastAsia="zh-CN"/>
        </w:rPr>
        <w:t>表</w:t>
      </w:r>
      <w:r>
        <w:rPr>
          <w:rFonts w:ascii="仿宋_GB2312" w:hAnsi="仿宋_GB2312" w:cs="仿宋_GB2312"/>
          <w:kern w:val="2"/>
          <w:sz w:val="30"/>
          <w:szCs w:val="30"/>
          <w:highlight w:val="none"/>
        </w:rPr>
        <w:t>10。请你部门在批复的新增资产配置范围内，严格按照政府采购相关法律法规实施政府采购。部分未纳入此次预算批复的特殊资产购置项目，如确需配置，可在2020年预算执行过程中，结合你单位实际需要，另行申报审批。</w:t>
      </w:r>
    </w:p>
    <w:p>
      <w:pPr>
        <w:pStyle w:val="4"/>
        <w:adjustRightInd w:val="0"/>
        <w:spacing w:after="0" w:line="590" w:lineRule="exact"/>
        <w:ind w:firstLine="600" w:firstLineChars="200"/>
        <w:rPr>
          <w:rFonts w:ascii="仿宋_GB2312" w:hAnsi="仿宋_GB2312" w:cs="仿宋_GB2312"/>
          <w:kern w:val="2"/>
          <w:sz w:val="30"/>
          <w:szCs w:val="30"/>
          <w:highlight w:val="none"/>
        </w:rPr>
      </w:pPr>
      <w:r>
        <w:rPr>
          <w:rFonts w:hint="eastAsia" w:ascii="仿宋_GB2312" w:hAnsi="仿宋_GB2312" w:cs="仿宋_GB2312"/>
          <w:kern w:val="2"/>
          <w:sz w:val="30"/>
          <w:szCs w:val="30"/>
          <w:highlight w:val="none"/>
        </w:rPr>
        <w:t>（八）及时批复所属单位预算。你部门应当在接到省财政厅批复的部门预算后，</w:t>
      </w:r>
      <w:r>
        <w:rPr>
          <w:rFonts w:ascii="仿宋_GB2312" w:hAnsi="仿宋_GB2312" w:cs="仿宋_GB2312"/>
          <w:kern w:val="2"/>
          <w:sz w:val="30"/>
          <w:szCs w:val="30"/>
          <w:highlight w:val="none"/>
        </w:rPr>
        <w:t>15日内向所属各单位批复预算，并抄送省财政厅备案。</w:t>
      </w:r>
    </w:p>
    <w:p>
      <w:pPr>
        <w:pStyle w:val="4"/>
        <w:adjustRightInd w:val="0"/>
        <w:spacing w:after="0" w:line="590" w:lineRule="exact"/>
        <w:ind w:firstLine="600" w:firstLineChars="200"/>
        <w:rPr>
          <w:rFonts w:ascii="仿宋_GB2312" w:hAnsi="仿宋_GB2312" w:cs="仿宋_GB2312"/>
          <w:kern w:val="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（九）做好预算公开工作</w:t>
      </w:r>
      <w:bookmarkStart w:id="14" w:name="_GoBack"/>
      <w:bookmarkEnd w:id="14"/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你部门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严格按照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《云南省财政厅关于组织开展2020年省级部门预算公开工作的通知》（云财预〔2020〕21号）及《预算公开管理操作指南》，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做好今年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预算公开工作。</w:t>
      </w:r>
    </w:p>
    <w:p>
      <w:pPr>
        <w:pStyle w:val="4"/>
        <w:adjustRightInd w:val="0"/>
        <w:spacing w:after="0" w:line="590" w:lineRule="exact"/>
        <w:ind w:firstLine="600" w:firstLineChars="200"/>
        <w:rPr>
          <w:rFonts w:ascii="仿宋_GB2312" w:hAnsi="仿宋_GB2312" w:cs="仿宋_GB2312"/>
          <w:kern w:val="2"/>
          <w:sz w:val="30"/>
          <w:szCs w:val="30"/>
          <w:highlight w:val="none"/>
        </w:rPr>
      </w:pPr>
    </w:p>
    <w:p>
      <w:pPr>
        <w:pStyle w:val="4"/>
        <w:adjustRightInd w:val="0"/>
        <w:spacing w:after="0" w:line="590" w:lineRule="exact"/>
        <w:ind w:firstLine="600" w:firstLineChars="200"/>
        <w:rPr>
          <w:rFonts w:ascii="仿宋_GB2312" w:hAnsi="仿宋_GB2312" w:cs="仿宋_GB2312"/>
          <w:kern w:val="2"/>
          <w:sz w:val="30"/>
          <w:szCs w:val="30"/>
        </w:rPr>
      </w:pPr>
      <w:r>
        <w:rPr>
          <w:rFonts w:hint="eastAsia" w:ascii="仿宋_GB2312" w:hAnsi="仿宋_GB2312" w:cs="仿宋_GB2312"/>
          <w:kern w:val="2"/>
          <w:sz w:val="30"/>
          <w:szCs w:val="30"/>
        </w:rPr>
        <w:t>附件：</w:t>
      </w:r>
      <w:r>
        <w:rPr>
          <w:rFonts w:ascii="仿宋_GB2312" w:hAnsi="仿宋_GB2312" w:cs="仿宋_GB2312"/>
          <w:kern w:val="2"/>
          <w:sz w:val="30"/>
          <w:szCs w:val="30"/>
        </w:rPr>
        <w:t>1.财务收支预算总表（表1-1）</w:t>
      </w:r>
    </w:p>
    <w:p>
      <w:pPr>
        <w:pStyle w:val="4"/>
        <w:adjustRightInd w:val="0"/>
        <w:spacing w:after="0" w:line="590" w:lineRule="exact"/>
        <w:ind w:firstLine="1500" w:firstLineChars="500"/>
        <w:rPr>
          <w:rFonts w:ascii="仿宋_GB2312" w:hAnsi="仿宋_GB2312" w:cs="仿宋_GB2312"/>
          <w:kern w:val="2"/>
          <w:sz w:val="30"/>
          <w:szCs w:val="30"/>
        </w:rPr>
      </w:pPr>
      <w:r>
        <w:rPr>
          <w:rFonts w:ascii="仿宋_GB2312" w:hAnsi="仿宋_GB2312" w:cs="仿宋_GB2312"/>
          <w:kern w:val="2"/>
          <w:sz w:val="30"/>
          <w:szCs w:val="30"/>
        </w:rPr>
        <w:t>2.财政拨款收支预算总表（表1-2）</w:t>
      </w:r>
    </w:p>
    <w:p>
      <w:pPr>
        <w:pStyle w:val="4"/>
        <w:adjustRightInd w:val="0"/>
        <w:spacing w:after="0" w:line="590" w:lineRule="exact"/>
        <w:ind w:firstLine="1500" w:firstLineChars="500"/>
        <w:rPr>
          <w:rFonts w:ascii="仿宋_GB2312" w:hAnsi="仿宋_GB2312" w:cs="仿宋_GB2312"/>
          <w:kern w:val="2"/>
          <w:sz w:val="30"/>
          <w:szCs w:val="30"/>
        </w:rPr>
      </w:pPr>
      <w:r>
        <w:rPr>
          <w:rFonts w:ascii="仿宋_GB2312" w:hAnsi="仿宋_GB2312" w:cs="仿宋_GB2312"/>
          <w:kern w:val="2"/>
          <w:sz w:val="30"/>
          <w:szCs w:val="30"/>
        </w:rPr>
        <w:t>3.财政拨款支出明细表（表1-3）</w:t>
      </w:r>
    </w:p>
    <w:p>
      <w:pPr>
        <w:pStyle w:val="4"/>
        <w:adjustRightInd w:val="0"/>
        <w:spacing w:after="0" w:line="590" w:lineRule="exact"/>
        <w:ind w:firstLine="1500" w:firstLineChars="500"/>
        <w:rPr>
          <w:rFonts w:ascii="仿宋_GB2312" w:hAnsi="仿宋_GB2312" w:cs="仿宋_GB2312"/>
          <w:kern w:val="2"/>
          <w:sz w:val="30"/>
          <w:szCs w:val="30"/>
        </w:rPr>
      </w:pPr>
      <w:r>
        <w:rPr>
          <w:rFonts w:ascii="仿宋_GB2312" w:hAnsi="仿宋_GB2312" w:cs="仿宋_GB2312"/>
          <w:kern w:val="2"/>
          <w:sz w:val="30"/>
          <w:szCs w:val="30"/>
        </w:rPr>
        <w:t>4.一般公共预算本级财力安排支出预算总表（表2）</w:t>
      </w:r>
    </w:p>
    <w:p>
      <w:pPr>
        <w:pStyle w:val="4"/>
        <w:adjustRightInd w:val="0"/>
        <w:spacing w:after="0" w:line="590" w:lineRule="exact"/>
        <w:ind w:firstLine="1500" w:firstLineChars="500"/>
        <w:rPr>
          <w:rFonts w:ascii="仿宋_GB2312" w:hAnsi="仿宋_GB2312" w:cs="仿宋_GB2312"/>
          <w:kern w:val="2"/>
          <w:sz w:val="30"/>
          <w:szCs w:val="30"/>
        </w:rPr>
      </w:pPr>
      <w:r>
        <w:rPr>
          <w:rFonts w:ascii="仿宋_GB2312" w:hAnsi="仿宋_GB2312" w:cs="仿宋_GB2312"/>
          <w:kern w:val="2"/>
          <w:sz w:val="30"/>
          <w:szCs w:val="30"/>
        </w:rPr>
        <w:t>5.基本支出预算表（表3）</w:t>
      </w:r>
    </w:p>
    <w:p>
      <w:pPr>
        <w:pStyle w:val="4"/>
        <w:adjustRightInd w:val="0"/>
        <w:spacing w:after="0" w:line="590" w:lineRule="exact"/>
        <w:ind w:firstLine="1500" w:firstLineChars="500"/>
        <w:rPr>
          <w:rFonts w:ascii="仿宋_GB2312" w:hAnsi="仿宋_GB2312" w:cs="仿宋_GB2312"/>
          <w:kern w:val="2"/>
          <w:sz w:val="30"/>
          <w:szCs w:val="30"/>
        </w:rPr>
      </w:pPr>
      <w:r>
        <w:rPr>
          <w:rFonts w:ascii="仿宋_GB2312" w:hAnsi="仿宋_GB2312" w:cs="仿宋_GB2312"/>
          <w:kern w:val="2"/>
          <w:sz w:val="30"/>
          <w:szCs w:val="30"/>
        </w:rPr>
        <w:t>6.项目支出预算表（表4-1）</w:t>
      </w:r>
    </w:p>
    <w:p>
      <w:pPr>
        <w:pStyle w:val="4"/>
        <w:adjustRightInd w:val="0"/>
        <w:spacing w:after="0" w:line="590" w:lineRule="exact"/>
        <w:ind w:firstLine="1500" w:firstLineChars="500"/>
        <w:rPr>
          <w:rFonts w:ascii="仿宋_GB2312" w:hAnsi="仿宋_GB2312" w:cs="仿宋_GB2312"/>
          <w:kern w:val="2"/>
          <w:sz w:val="30"/>
          <w:szCs w:val="30"/>
        </w:rPr>
      </w:pPr>
      <w:r>
        <w:rPr>
          <w:rFonts w:ascii="仿宋_GB2312" w:hAnsi="仿宋_GB2312" w:cs="仿宋_GB2312"/>
          <w:kern w:val="2"/>
          <w:sz w:val="30"/>
          <w:szCs w:val="30"/>
        </w:rPr>
        <w:t>7.项目支出绩效目标表（本次下达）（表4-2）</w:t>
      </w:r>
    </w:p>
    <w:p>
      <w:pPr>
        <w:pStyle w:val="4"/>
        <w:adjustRightInd w:val="0"/>
        <w:spacing w:after="0" w:line="590" w:lineRule="exact"/>
        <w:ind w:firstLine="1500" w:firstLineChars="500"/>
        <w:rPr>
          <w:rFonts w:ascii="仿宋_GB2312" w:hAnsi="仿宋_GB2312" w:cs="仿宋_GB2312"/>
          <w:kern w:val="2"/>
          <w:sz w:val="30"/>
          <w:szCs w:val="30"/>
        </w:rPr>
      </w:pPr>
      <w:r>
        <w:rPr>
          <w:rFonts w:ascii="仿宋_GB2312" w:hAnsi="仿宋_GB2312" w:cs="仿宋_GB2312"/>
          <w:kern w:val="2"/>
          <w:sz w:val="30"/>
          <w:szCs w:val="30"/>
        </w:rPr>
        <w:t>8.项目支出绩效目标表（另文下达）（表4-3）</w:t>
      </w:r>
    </w:p>
    <w:p>
      <w:pPr>
        <w:pStyle w:val="4"/>
        <w:adjustRightInd w:val="0"/>
        <w:spacing w:after="0" w:line="590" w:lineRule="exact"/>
        <w:ind w:firstLine="1500" w:firstLineChars="500"/>
        <w:rPr>
          <w:rFonts w:ascii="仿宋_GB2312" w:hAnsi="仿宋_GB2312" w:cs="仿宋_GB2312"/>
          <w:kern w:val="2"/>
          <w:sz w:val="30"/>
          <w:szCs w:val="30"/>
        </w:rPr>
      </w:pPr>
      <w:r>
        <w:rPr>
          <w:rFonts w:ascii="仿宋_GB2312" w:hAnsi="仿宋_GB2312" w:cs="仿宋_GB2312"/>
          <w:kern w:val="2"/>
          <w:sz w:val="30"/>
          <w:szCs w:val="30"/>
        </w:rPr>
        <w:t>9.一般公共预算上年结转支出预算表（表5）</w:t>
      </w:r>
    </w:p>
    <w:p>
      <w:pPr>
        <w:pStyle w:val="4"/>
        <w:adjustRightInd w:val="0"/>
        <w:spacing w:after="0" w:line="590" w:lineRule="exact"/>
        <w:ind w:firstLine="1500" w:firstLineChars="500"/>
        <w:rPr>
          <w:rFonts w:ascii="仿宋_GB2312" w:hAnsi="仿宋_GB2312" w:cs="仿宋_GB2312"/>
          <w:kern w:val="2"/>
          <w:sz w:val="30"/>
          <w:szCs w:val="30"/>
        </w:rPr>
      </w:pPr>
      <w:r>
        <w:rPr>
          <w:rFonts w:ascii="仿宋_GB2312" w:hAnsi="仿宋_GB2312" w:cs="仿宋_GB2312"/>
          <w:kern w:val="2"/>
          <w:sz w:val="30"/>
          <w:szCs w:val="30"/>
        </w:rPr>
        <w:t>10.政府性基金预算支出情况表（表6）</w:t>
      </w:r>
      <w:r>
        <w:rPr>
          <w:rFonts w:ascii="仿宋_GB2312" w:hAnsi="仿宋_GB2312" w:cs="仿宋_GB2312"/>
          <w:kern w:val="2"/>
          <w:sz w:val="30"/>
          <w:szCs w:val="30"/>
        </w:rPr>
        <w:tab/>
      </w:r>
      <w:r>
        <w:rPr>
          <w:rFonts w:ascii="仿宋_GB2312" w:hAnsi="仿宋_GB2312" w:cs="仿宋_GB2312"/>
          <w:kern w:val="2"/>
          <w:sz w:val="30"/>
          <w:szCs w:val="30"/>
        </w:rPr>
        <w:tab/>
      </w:r>
      <w:r>
        <w:rPr>
          <w:rFonts w:ascii="仿宋_GB2312" w:hAnsi="仿宋_GB2312" w:cs="仿宋_GB2312"/>
          <w:kern w:val="2"/>
          <w:sz w:val="30"/>
          <w:szCs w:val="30"/>
        </w:rPr>
        <w:tab/>
      </w:r>
    </w:p>
    <w:p>
      <w:pPr>
        <w:pStyle w:val="4"/>
        <w:adjustRightInd w:val="0"/>
        <w:spacing w:after="0" w:line="590" w:lineRule="exact"/>
        <w:ind w:firstLine="1500" w:firstLineChars="500"/>
        <w:rPr>
          <w:rFonts w:ascii="仿宋_GB2312" w:hAnsi="仿宋_GB2312" w:cs="仿宋_GB2312"/>
          <w:kern w:val="2"/>
          <w:sz w:val="30"/>
          <w:szCs w:val="30"/>
        </w:rPr>
      </w:pPr>
      <w:r>
        <w:rPr>
          <w:rFonts w:ascii="仿宋_GB2312" w:hAnsi="仿宋_GB2312" w:cs="仿宋_GB2312"/>
          <w:kern w:val="2"/>
          <w:sz w:val="30"/>
          <w:szCs w:val="30"/>
        </w:rPr>
        <w:t>11.政府采购预算表（表7）</w:t>
      </w:r>
    </w:p>
    <w:p>
      <w:pPr>
        <w:pStyle w:val="4"/>
        <w:adjustRightInd w:val="0"/>
        <w:spacing w:after="0" w:line="590" w:lineRule="exact"/>
        <w:ind w:firstLine="1500" w:firstLineChars="500"/>
        <w:rPr>
          <w:rFonts w:ascii="仿宋_GB2312" w:hAnsi="仿宋_GB2312" w:cs="仿宋_GB2312"/>
          <w:kern w:val="2"/>
          <w:sz w:val="30"/>
          <w:szCs w:val="30"/>
        </w:rPr>
      </w:pPr>
      <w:r>
        <w:rPr>
          <w:rFonts w:ascii="仿宋_GB2312" w:hAnsi="仿宋_GB2312" w:cs="仿宋_GB2312"/>
          <w:kern w:val="2"/>
          <w:sz w:val="30"/>
          <w:szCs w:val="30"/>
        </w:rPr>
        <w:t>12.政府购买服务预算表（表8）</w:t>
      </w:r>
    </w:p>
    <w:p>
      <w:pPr>
        <w:pStyle w:val="4"/>
        <w:adjustRightInd w:val="0"/>
        <w:spacing w:after="0" w:line="590" w:lineRule="exact"/>
        <w:ind w:firstLine="1500" w:firstLineChars="500"/>
        <w:rPr>
          <w:rFonts w:ascii="仿宋_GB2312" w:hAnsi="仿宋_GB2312" w:cs="仿宋_GB2312"/>
          <w:kern w:val="2"/>
          <w:sz w:val="30"/>
          <w:szCs w:val="30"/>
        </w:rPr>
      </w:pPr>
      <w:r>
        <w:rPr>
          <w:rFonts w:ascii="仿宋_GB2312" w:hAnsi="仿宋_GB2312" w:cs="仿宋_GB2312"/>
          <w:kern w:val="2"/>
          <w:sz w:val="30"/>
          <w:szCs w:val="30"/>
        </w:rPr>
        <w:t>13.省对下转移支付预算表（表9-1）</w:t>
      </w:r>
    </w:p>
    <w:p>
      <w:pPr>
        <w:pStyle w:val="4"/>
        <w:adjustRightInd w:val="0"/>
        <w:spacing w:after="0" w:line="590" w:lineRule="exact"/>
        <w:ind w:firstLine="1500" w:firstLineChars="500"/>
        <w:rPr>
          <w:rFonts w:ascii="仿宋_GB2312" w:hAnsi="仿宋_GB2312" w:cs="仿宋_GB2312"/>
          <w:kern w:val="2"/>
          <w:sz w:val="30"/>
          <w:szCs w:val="30"/>
        </w:rPr>
      </w:pPr>
      <w:r>
        <w:rPr>
          <w:rFonts w:ascii="仿宋_GB2312" w:hAnsi="仿宋_GB2312" w:cs="仿宋_GB2312"/>
          <w:kern w:val="2"/>
          <w:sz w:val="30"/>
          <w:szCs w:val="30"/>
        </w:rPr>
        <w:t>14.省对下转移支付绩效目标表（表9-2）</w:t>
      </w:r>
    </w:p>
    <w:p>
      <w:pPr>
        <w:pStyle w:val="4"/>
        <w:adjustRightInd w:val="0"/>
        <w:spacing w:after="0" w:line="590" w:lineRule="exact"/>
        <w:ind w:firstLine="1500" w:firstLineChars="500"/>
        <w:rPr>
          <w:rFonts w:ascii="仿宋_GB2312" w:hAnsi="仿宋_GB2312" w:cs="仿宋_GB2312"/>
          <w:spacing w:val="14"/>
          <w:sz w:val="30"/>
          <w:szCs w:val="30"/>
        </w:rPr>
      </w:pPr>
      <w:r>
        <w:rPr>
          <w:rFonts w:ascii="仿宋_GB2312" w:hAnsi="仿宋_GB2312" w:cs="仿宋_GB2312"/>
          <w:kern w:val="2"/>
          <w:sz w:val="30"/>
          <w:szCs w:val="30"/>
        </w:rPr>
        <w:t>15.新增资产配置表（表10）</w:t>
      </w:r>
      <w:r>
        <w:rPr>
          <w:rFonts w:hint="eastAsia" w:ascii="仿宋_GB2312" w:hAnsi="仿宋_GB2312" w:cs="仿宋_GB2312"/>
          <w:sz w:val="30"/>
          <w:szCs w:val="30"/>
        </w:rPr>
        <w:tab/>
      </w:r>
    </w:p>
    <w:p>
      <w:pPr>
        <w:pStyle w:val="4"/>
        <w:adjustRightInd w:val="0"/>
        <w:spacing w:line="560" w:lineRule="exact"/>
        <w:ind w:firstLine="0"/>
        <w:rPr>
          <w:rFonts w:hint="eastAsia" w:ascii="仿宋_GB2312" w:eastAsia="仿宋_GB2312"/>
          <w:spacing w:val="14"/>
          <w:sz w:val="30"/>
          <w:szCs w:val="30"/>
          <w:lang w:eastAsia="zh-CN"/>
        </w:rPr>
      </w:pPr>
    </w:p>
    <w:p>
      <w:pPr>
        <w:pStyle w:val="4"/>
        <w:adjustRightInd w:val="0"/>
        <w:spacing w:line="560" w:lineRule="exact"/>
        <w:ind w:firstLine="0"/>
        <w:rPr>
          <w:rFonts w:ascii="仿宋_GB2312"/>
          <w:spacing w:val="14"/>
          <w:sz w:val="30"/>
          <w:szCs w:val="30"/>
        </w:rPr>
      </w:pPr>
      <w:bookmarkStart w:id="9" w:name="正文结束"/>
      <w:bookmarkEnd w:id="9"/>
    </w:p>
    <w:p>
      <w:pPr>
        <w:pStyle w:val="4"/>
        <w:spacing w:line="590" w:lineRule="exact"/>
        <w:ind w:firstLine="656" w:firstLineChars="200"/>
        <w:rPr>
          <w:rFonts w:ascii="仿宋_GB2312"/>
          <w:spacing w:val="14"/>
          <w:sz w:val="30"/>
          <w:szCs w:val="30"/>
        </w:rPr>
      </w:pPr>
    </w:p>
    <w:p>
      <w:pPr>
        <w:pStyle w:val="4"/>
        <w:spacing w:line="590" w:lineRule="exact"/>
        <w:ind w:right="840" w:rightChars="400" w:firstLine="656" w:firstLineChars="200"/>
        <w:rPr>
          <w:rFonts w:ascii="仿宋_GB2312"/>
          <w:spacing w:val="14"/>
          <w:sz w:val="30"/>
          <w:szCs w:val="30"/>
        </w:rPr>
      </w:pPr>
      <w:r>
        <w:rPr>
          <w:rFonts w:hint="eastAsia" w:ascii="仿宋_GB2312"/>
          <w:spacing w:val="14"/>
          <w:sz w:val="30"/>
          <w:szCs w:val="30"/>
        </w:rPr>
        <w:t xml:space="preserve">                           云南省财政厅</w:t>
      </w:r>
    </w:p>
    <w:p>
      <w:pPr>
        <w:spacing w:line="590" w:lineRule="exact"/>
        <w:ind w:right="1122"/>
        <w:jc w:val="right"/>
        <w:rPr>
          <w:rFonts w:hint="eastAsia" w:ascii="仿宋_GB2312" w:hAnsi="仿宋_GB2312" w:eastAsia="仿宋_GB2312" w:cs="仿宋_GB2312"/>
          <w:spacing w:val="14"/>
          <w:sz w:val="30"/>
          <w:szCs w:val="30"/>
          <w:lang w:eastAsia="zh-CN"/>
        </w:rPr>
      </w:pPr>
      <w:bookmarkStart w:id="10" w:name="签发日期"/>
      <w:bookmarkEnd w:id="10"/>
      <w:bookmarkStart w:id="11" w:name="GWDocEnd"/>
      <w:bookmarkEnd w:id="11"/>
      <w:r>
        <w:rPr>
          <w:rFonts w:hint="eastAsia" w:ascii="仿宋_GB2312" w:hAnsi="仿宋_GB2312" w:eastAsia="仿宋_GB2312" w:cs="仿宋_GB2312"/>
          <w:spacing w:val="14"/>
          <w:sz w:val="30"/>
          <w:szCs w:val="30"/>
          <w:lang w:eastAsia="zh-CN"/>
        </w:rPr>
        <w:t>2020年5月21日</w:t>
      </w:r>
    </w:p>
    <w:p>
      <w:pPr>
        <w:spacing w:line="590" w:lineRule="exact"/>
        <w:ind w:right="1122"/>
        <w:jc w:val="right"/>
        <w:rPr>
          <w:rFonts w:hint="eastAsia" w:ascii="仿宋_GB2312" w:hAnsi="仿宋_GB2312" w:eastAsia="仿宋_GB2312" w:cs="仿宋_GB2312"/>
          <w:spacing w:val="14"/>
          <w:sz w:val="30"/>
          <w:szCs w:val="30"/>
          <w:lang w:eastAsia="zh-CN"/>
        </w:rPr>
      </w:pPr>
    </w:p>
    <w:p>
      <w:pPr>
        <w:spacing w:line="590" w:lineRule="exact"/>
        <w:ind w:right="1122"/>
        <w:jc w:val="right"/>
        <w:rPr>
          <w:rFonts w:hint="eastAsia" w:ascii="仿宋_GB2312" w:hAnsi="仿宋_GB2312" w:eastAsia="仿宋_GB2312" w:cs="仿宋_GB2312"/>
          <w:spacing w:val="14"/>
          <w:sz w:val="30"/>
          <w:szCs w:val="30"/>
          <w:lang w:eastAsia="zh-CN"/>
        </w:rPr>
      </w:pPr>
    </w:p>
    <w:p>
      <w:pPr>
        <w:spacing w:line="590" w:lineRule="exact"/>
        <w:ind w:right="1122"/>
        <w:jc w:val="right"/>
        <w:rPr>
          <w:rFonts w:hint="eastAsia" w:ascii="仿宋_GB2312" w:hAnsi="仿宋_GB2312" w:eastAsia="仿宋_GB2312" w:cs="仿宋_GB2312"/>
          <w:spacing w:val="14"/>
          <w:sz w:val="30"/>
          <w:szCs w:val="30"/>
          <w:lang w:eastAsia="zh-CN"/>
        </w:rPr>
      </w:pPr>
    </w:p>
    <w:p>
      <w:pPr>
        <w:spacing w:line="590" w:lineRule="exact"/>
        <w:ind w:right="1122"/>
        <w:jc w:val="right"/>
        <w:rPr>
          <w:rFonts w:hint="eastAsia" w:ascii="仿宋_GB2312" w:hAnsi="仿宋_GB2312" w:eastAsia="仿宋_GB2312" w:cs="仿宋_GB2312"/>
          <w:spacing w:val="14"/>
          <w:sz w:val="30"/>
          <w:szCs w:val="30"/>
          <w:lang w:eastAsia="zh-CN"/>
        </w:rPr>
      </w:pPr>
    </w:p>
    <w:p>
      <w:pPr>
        <w:spacing w:line="590" w:lineRule="exact"/>
        <w:ind w:right="1122"/>
        <w:jc w:val="right"/>
        <w:rPr>
          <w:rFonts w:hint="eastAsia" w:ascii="仿宋_GB2312" w:hAnsi="仿宋_GB2312" w:eastAsia="仿宋_GB2312" w:cs="仿宋_GB2312"/>
          <w:spacing w:val="14"/>
          <w:sz w:val="30"/>
          <w:szCs w:val="30"/>
          <w:lang w:eastAsia="zh-CN"/>
        </w:rPr>
      </w:pPr>
    </w:p>
    <w:p>
      <w:pPr>
        <w:spacing w:line="590" w:lineRule="exact"/>
        <w:ind w:right="1122"/>
        <w:jc w:val="right"/>
        <w:rPr>
          <w:rFonts w:hint="eastAsia" w:ascii="仿宋_GB2312" w:hAnsi="仿宋_GB2312" w:eastAsia="仿宋_GB2312" w:cs="仿宋_GB2312"/>
          <w:spacing w:val="14"/>
          <w:sz w:val="30"/>
          <w:szCs w:val="30"/>
          <w:lang w:eastAsia="zh-CN"/>
        </w:rPr>
      </w:pPr>
    </w:p>
    <w:p>
      <w:pPr>
        <w:spacing w:line="590" w:lineRule="exact"/>
        <w:ind w:right="1122"/>
        <w:jc w:val="right"/>
        <w:rPr>
          <w:rFonts w:hint="eastAsia" w:ascii="仿宋_GB2312" w:hAnsi="仿宋_GB2312" w:eastAsia="仿宋_GB2312" w:cs="仿宋_GB2312"/>
          <w:spacing w:val="14"/>
          <w:sz w:val="30"/>
          <w:szCs w:val="30"/>
          <w:lang w:eastAsia="zh-CN"/>
        </w:rPr>
      </w:pPr>
    </w:p>
    <w:p>
      <w:pPr>
        <w:spacing w:line="590" w:lineRule="exact"/>
        <w:ind w:right="1122"/>
        <w:jc w:val="right"/>
        <w:rPr>
          <w:rFonts w:hint="eastAsia" w:ascii="仿宋_GB2312" w:hAnsi="仿宋_GB2312" w:eastAsia="仿宋_GB2312" w:cs="仿宋_GB2312"/>
          <w:spacing w:val="14"/>
          <w:sz w:val="30"/>
          <w:szCs w:val="30"/>
          <w:lang w:eastAsia="zh-CN"/>
        </w:rPr>
      </w:pPr>
    </w:p>
    <w:p>
      <w:pPr>
        <w:spacing w:line="590" w:lineRule="exact"/>
        <w:ind w:right="1122"/>
        <w:jc w:val="right"/>
        <w:rPr>
          <w:rFonts w:hint="eastAsia" w:ascii="仿宋_GB2312" w:hAnsi="仿宋_GB2312" w:eastAsia="仿宋_GB2312" w:cs="仿宋_GB2312"/>
          <w:spacing w:val="14"/>
          <w:sz w:val="30"/>
          <w:szCs w:val="30"/>
          <w:lang w:eastAsia="zh-CN"/>
        </w:rPr>
      </w:pPr>
    </w:p>
    <w:p>
      <w:pPr>
        <w:spacing w:line="590" w:lineRule="exact"/>
        <w:ind w:right="25"/>
        <w:jc w:val="right"/>
        <w:rPr>
          <w:rFonts w:ascii="仿宋_GB2312" w:hAnsi="仿宋_GB2312" w:eastAsia="仿宋_GB2312" w:cs="仿宋_GB2312"/>
          <w:spacing w:val="14"/>
          <w:sz w:val="30"/>
          <w:szCs w:val="30"/>
        </w:rPr>
      </w:pPr>
    </w:p>
    <w:p>
      <w:pPr>
        <w:spacing w:line="590" w:lineRule="exact"/>
        <w:ind w:right="25"/>
        <w:jc w:val="right"/>
        <w:rPr>
          <w:rFonts w:ascii="仿宋_GB2312" w:hAnsi="仿宋_GB2312" w:eastAsia="仿宋_GB2312" w:cs="仿宋_GB2312"/>
          <w:spacing w:val="14"/>
          <w:sz w:val="30"/>
          <w:szCs w:val="30"/>
        </w:rPr>
      </w:pPr>
    </w:p>
    <w:p>
      <w:pPr>
        <w:spacing w:line="590" w:lineRule="exact"/>
        <w:ind w:right="25"/>
        <w:jc w:val="right"/>
        <w:rPr>
          <w:rFonts w:ascii="仿宋_GB2312" w:hAnsi="仿宋_GB2312" w:eastAsia="仿宋_GB2312" w:cs="仿宋_GB2312"/>
          <w:spacing w:val="14"/>
          <w:sz w:val="30"/>
          <w:szCs w:val="30"/>
        </w:rPr>
      </w:pPr>
    </w:p>
    <w:p>
      <w:pPr>
        <w:pStyle w:val="15"/>
        <w:spacing w:line="460" w:lineRule="exact"/>
        <w:rPr>
          <w:rFonts w:hint="eastAsia" w:ascii="仿宋_GB2312"/>
          <w:sz w:val="28"/>
          <w:szCs w:val="28"/>
        </w:rPr>
        <w:sectPr>
          <w:type w:val="continuous"/>
          <w:pgSz w:w="11906" w:h="16838"/>
          <w:pgMar w:top="2098" w:right="1474" w:bottom="1984" w:left="1587" w:header="851" w:footer="1474" w:gutter="0"/>
          <w:cols w:space="720" w:num="1"/>
          <w:formProt w:val="0"/>
          <w:docGrid w:type="lines" w:linePitch="573" w:charSpace="0"/>
        </w:sectPr>
      </w:pPr>
    </w:p>
    <w:tbl>
      <w:tblPr>
        <w:tblStyle w:val="11"/>
        <w:tblpPr w:horzAnchor="margin" w:tblpXSpec="center" w:tblpYSpec="bottom"/>
        <w:tblW w:w="8845" w:type="dxa"/>
        <w:jc w:val="center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808080" w:sz="6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4423"/>
        <w:gridCol w:w="3414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808080" w:sz="6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08" w:type="dxa"/>
          </w:tcPr>
          <w:p>
            <w:pPr>
              <w:pStyle w:val="15"/>
              <w:spacing w:line="4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　抄送：</w:t>
            </w:r>
          </w:p>
        </w:tc>
        <w:tc>
          <w:tcPr>
            <w:tcW w:w="7837" w:type="dxa"/>
            <w:gridSpan w:val="2"/>
          </w:tcPr>
          <w:p>
            <w:pPr>
              <w:pStyle w:val="15"/>
              <w:spacing w:line="460" w:lineRule="exact"/>
              <w:ind w:left="0" w:right="210" w:rightChars="100" w:firstLine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bookmarkStart w:id="12" w:name="抄送单位"/>
            <w:bookmarkEnd w:id="12"/>
            <w:r>
              <w:rPr>
                <w:rFonts w:hint="eastAsia" w:ascii="仿宋_GB2312"/>
                <w:sz w:val="28"/>
                <w:szCs w:val="28"/>
                <w:lang w:eastAsia="zh-CN"/>
              </w:rPr>
              <w:t>省人大财经委、省人大常委会预工委，省审计厅，本厅预算处、国库处。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808080" w:sz="6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431" w:type="dxa"/>
            <w:gridSpan w:val="2"/>
            <w:vAlign w:val="center"/>
          </w:tcPr>
          <w:p>
            <w:pPr>
              <w:tabs>
                <w:tab w:val="left" w:pos="5598"/>
              </w:tabs>
              <w:spacing w:before="57" w:beforeLines="10" w:after="57" w:afterLines="10" w:line="460" w:lineRule="exact"/>
              <w:ind w:left="294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云南省财政厅办公室</w:t>
            </w:r>
          </w:p>
        </w:tc>
        <w:tc>
          <w:tcPr>
            <w:tcW w:w="3414" w:type="dxa"/>
            <w:vAlign w:val="center"/>
          </w:tcPr>
          <w:p>
            <w:pPr>
              <w:tabs>
                <w:tab w:val="left" w:pos="5598"/>
              </w:tabs>
              <w:spacing w:before="57" w:beforeLines="10" w:after="57" w:afterLines="10" w:line="460" w:lineRule="exact"/>
              <w:ind w:right="301"/>
              <w:jc w:val="right"/>
              <w:rPr>
                <w:rFonts w:ascii="仿宋_GB2312"/>
                <w:sz w:val="28"/>
                <w:szCs w:val="28"/>
              </w:rPr>
            </w:pPr>
            <w:bookmarkStart w:id="13" w:name="印发日期"/>
            <w:bookmarkEnd w:id="13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2020年5月21日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印发</w:t>
            </w:r>
          </w:p>
        </w:tc>
      </w:tr>
    </w:tbl>
    <w:p>
      <w:pPr>
        <w:ind w:firstLine="422"/>
        <w:jc w:val="left"/>
      </w:pPr>
    </w:p>
    <w:sectPr>
      <w:footerReference r:id="rId5" w:type="default"/>
      <w:pgSz w:w="11906" w:h="16838"/>
      <w:pgMar w:top="2098" w:right="1474" w:bottom="1984" w:left="1587" w:header="851" w:footer="1474" w:gutter="0"/>
      <w:cols w:space="720" w:num="1"/>
      <w:formProt w:val="0"/>
      <w:docGrid w:type="lines" w:linePitch="57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ind w:left="350" w:right="360"/>
      <w:jc w:val="right"/>
      <w:rPr>
        <w:rStyle w:val="9"/>
        <w:rFonts w:ascii="宋体" w:hAnsi="宋体" w:cs="宋体"/>
      </w:rPr>
    </w:pPr>
  </w:p>
  <w:p>
    <w:pPr>
      <w:pStyle w:val="6"/>
      <w:tabs>
        <w:tab w:val="clear" w:pos="4153"/>
        <w:tab w:val="clear" w:pos="8306"/>
      </w:tabs>
      <w:ind w:left="350" w:right="360"/>
      <w:jc w:val="righ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tabs>
                              <w:tab w:val="clear" w:pos="4153"/>
                              <w:tab w:val="clear" w:pos="8306"/>
                            </w:tabs>
                            <w:ind w:left="350" w:right="360"/>
                            <w:jc w:val="right"/>
                          </w:pPr>
                          <w:r>
                            <w:rPr>
                              <w:rStyle w:val="9"/>
                              <w:rFonts w:hint="eastAsia" w:ascii="宋体" w:hAnsi="宋体" w:cs="宋体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 w:cs="宋体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 w:cs="宋体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 w:cs="宋体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m/LFqq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tabs>
                        <w:tab w:val="clear" w:pos="4153"/>
                        <w:tab w:val="clear" w:pos="8306"/>
                      </w:tabs>
                      <w:ind w:left="350" w:right="360"/>
                      <w:jc w:val="right"/>
                    </w:pPr>
                    <w:r>
                      <w:rPr>
                        <w:rStyle w:val="9"/>
                        <w:rFonts w:hint="eastAsia" w:ascii="宋体" w:hAnsi="宋体" w:cs="宋体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 w:cs="宋体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 w:cs="宋体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 w:cs="宋体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ind w:left="350" w:right="360"/>
      <w:rPr>
        <w:rStyle w:val="9"/>
        <w:rFonts w:ascii="宋体" w:hAnsi="宋体" w:cs="宋体"/>
        <w:szCs w:val="28"/>
      </w:rPr>
    </w:pPr>
  </w:p>
  <w:p>
    <w:pPr>
      <w:pStyle w:val="6"/>
      <w:tabs>
        <w:tab w:val="clear" w:pos="4153"/>
        <w:tab w:val="clear" w:pos="8306"/>
      </w:tabs>
      <w:ind w:left="350" w:right="360"/>
      <w:rPr>
        <w:rFonts w:ascii="宋体" w:hAnsi="宋体" w:cs="宋体"/>
        <w:sz w:val="28"/>
        <w:szCs w:val="28"/>
      </w:rPr>
    </w:pPr>
    <w:r>
      <w:rPr>
        <w:rStyle w:val="9"/>
        <w:rFonts w:hint="eastAsia" w:ascii="宋体" w:hAnsi="宋体" w:cs="宋体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Style w:val="9"/>
        <w:rFonts w:hint="eastAsia" w:ascii="宋体" w:hAnsi="宋体" w:cs="宋体"/>
        <w:szCs w:val="28"/>
      </w:rPr>
      <w:instrText xml:space="preserve"> PAGE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Style w:val="9"/>
        <w:rFonts w:hint="eastAsia" w:ascii="宋体" w:hAnsi="宋体" w:cs="宋体"/>
        <w:szCs w:val="28"/>
      </w:rPr>
      <w:t>1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Style w:val="9"/>
        <w:rFonts w:hint="eastAsia" w:ascii="宋体" w:hAnsi="宋体" w:cs="宋体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ind w:left="350" w:right="360"/>
      <w:jc w:val="right"/>
      <w:rPr>
        <w:rStyle w:val="9"/>
        <w:rFonts w:ascii="宋体" w:hAnsi="宋体" w:cs="宋体"/>
      </w:rPr>
    </w:pPr>
  </w:p>
  <w:p>
    <w:pPr>
      <w:pStyle w:val="6"/>
      <w:tabs>
        <w:tab w:val="clear" w:pos="4153"/>
        <w:tab w:val="clear" w:pos="8306"/>
      </w:tabs>
      <w:ind w:left="350" w:right="36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210"/>
  <w:drawingGridVerticalSpacing w:val="286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FA"/>
    <w:rsid w:val="000048AF"/>
    <w:rsid w:val="0000568E"/>
    <w:rsid w:val="00013A97"/>
    <w:rsid w:val="00032F56"/>
    <w:rsid w:val="00034892"/>
    <w:rsid w:val="000352DA"/>
    <w:rsid w:val="00041CC3"/>
    <w:rsid w:val="00052367"/>
    <w:rsid w:val="00063920"/>
    <w:rsid w:val="00076200"/>
    <w:rsid w:val="00080115"/>
    <w:rsid w:val="00080BD5"/>
    <w:rsid w:val="000822C7"/>
    <w:rsid w:val="0008779F"/>
    <w:rsid w:val="00090DB6"/>
    <w:rsid w:val="000A0648"/>
    <w:rsid w:val="000A5C0C"/>
    <w:rsid w:val="000B6A4A"/>
    <w:rsid w:val="000C6157"/>
    <w:rsid w:val="000C697F"/>
    <w:rsid w:val="000D1002"/>
    <w:rsid w:val="000E549F"/>
    <w:rsid w:val="000F68BC"/>
    <w:rsid w:val="001032F0"/>
    <w:rsid w:val="00107238"/>
    <w:rsid w:val="001076F1"/>
    <w:rsid w:val="0012241F"/>
    <w:rsid w:val="00133967"/>
    <w:rsid w:val="0014189C"/>
    <w:rsid w:val="00147379"/>
    <w:rsid w:val="001614B8"/>
    <w:rsid w:val="00162DC7"/>
    <w:rsid w:val="00163189"/>
    <w:rsid w:val="00170BEE"/>
    <w:rsid w:val="00175470"/>
    <w:rsid w:val="00182931"/>
    <w:rsid w:val="00195E9F"/>
    <w:rsid w:val="00197FCA"/>
    <w:rsid w:val="001A5613"/>
    <w:rsid w:val="001B04F5"/>
    <w:rsid w:val="001C602B"/>
    <w:rsid w:val="001D179D"/>
    <w:rsid w:val="001D48D7"/>
    <w:rsid w:val="001F0881"/>
    <w:rsid w:val="001F6A72"/>
    <w:rsid w:val="00205F45"/>
    <w:rsid w:val="00206241"/>
    <w:rsid w:val="0021189D"/>
    <w:rsid w:val="00211EC0"/>
    <w:rsid w:val="002122B6"/>
    <w:rsid w:val="0021278C"/>
    <w:rsid w:val="00220A88"/>
    <w:rsid w:val="00220DF6"/>
    <w:rsid w:val="00235815"/>
    <w:rsid w:val="002377F6"/>
    <w:rsid w:val="00246FC7"/>
    <w:rsid w:val="00255A3F"/>
    <w:rsid w:val="00272372"/>
    <w:rsid w:val="0027345F"/>
    <w:rsid w:val="002736D2"/>
    <w:rsid w:val="00280240"/>
    <w:rsid w:val="00285329"/>
    <w:rsid w:val="00292FB6"/>
    <w:rsid w:val="00293844"/>
    <w:rsid w:val="002A0EED"/>
    <w:rsid w:val="002A1EB3"/>
    <w:rsid w:val="002A2154"/>
    <w:rsid w:val="002A4F2B"/>
    <w:rsid w:val="002A6349"/>
    <w:rsid w:val="002D2E2B"/>
    <w:rsid w:val="002D6516"/>
    <w:rsid w:val="002E1266"/>
    <w:rsid w:val="002E36CF"/>
    <w:rsid w:val="002E44BB"/>
    <w:rsid w:val="002F1660"/>
    <w:rsid w:val="002F3BA0"/>
    <w:rsid w:val="00300DDC"/>
    <w:rsid w:val="0031586E"/>
    <w:rsid w:val="00320EB1"/>
    <w:rsid w:val="00320EBE"/>
    <w:rsid w:val="0034457C"/>
    <w:rsid w:val="00377679"/>
    <w:rsid w:val="00392024"/>
    <w:rsid w:val="0039236B"/>
    <w:rsid w:val="003A3E8A"/>
    <w:rsid w:val="003A45DA"/>
    <w:rsid w:val="003A4A13"/>
    <w:rsid w:val="003C3C62"/>
    <w:rsid w:val="003C5322"/>
    <w:rsid w:val="003D0CF1"/>
    <w:rsid w:val="003D0F2F"/>
    <w:rsid w:val="003D1D76"/>
    <w:rsid w:val="003D436F"/>
    <w:rsid w:val="003D5D36"/>
    <w:rsid w:val="003D6C22"/>
    <w:rsid w:val="003D6DDB"/>
    <w:rsid w:val="003D6DE9"/>
    <w:rsid w:val="003E4E75"/>
    <w:rsid w:val="003E5185"/>
    <w:rsid w:val="00402CCC"/>
    <w:rsid w:val="00403D35"/>
    <w:rsid w:val="00414F32"/>
    <w:rsid w:val="00416DC1"/>
    <w:rsid w:val="00432EC2"/>
    <w:rsid w:val="00440EBA"/>
    <w:rsid w:val="004546D9"/>
    <w:rsid w:val="00454779"/>
    <w:rsid w:val="00463633"/>
    <w:rsid w:val="00467F60"/>
    <w:rsid w:val="0047343D"/>
    <w:rsid w:val="004746FB"/>
    <w:rsid w:val="004803AA"/>
    <w:rsid w:val="0048077D"/>
    <w:rsid w:val="00486969"/>
    <w:rsid w:val="0049445F"/>
    <w:rsid w:val="00494D3E"/>
    <w:rsid w:val="004A4BFD"/>
    <w:rsid w:val="004A4CA9"/>
    <w:rsid w:val="004A6118"/>
    <w:rsid w:val="004B7634"/>
    <w:rsid w:val="004C049D"/>
    <w:rsid w:val="004C3BF3"/>
    <w:rsid w:val="004D1D17"/>
    <w:rsid w:val="004E21F5"/>
    <w:rsid w:val="004E34BB"/>
    <w:rsid w:val="004F1597"/>
    <w:rsid w:val="00512BF9"/>
    <w:rsid w:val="00516120"/>
    <w:rsid w:val="0054000C"/>
    <w:rsid w:val="00542A76"/>
    <w:rsid w:val="0054455E"/>
    <w:rsid w:val="005445C6"/>
    <w:rsid w:val="005506C3"/>
    <w:rsid w:val="00551530"/>
    <w:rsid w:val="00557F4A"/>
    <w:rsid w:val="00563F00"/>
    <w:rsid w:val="00573DEA"/>
    <w:rsid w:val="00574469"/>
    <w:rsid w:val="005810F3"/>
    <w:rsid w:val="005854A8"/>
    <w:rsid w:val="005C14B6"/>
    <w:rsid w:val="005C5B30"/>
    <w:rsid w:val="005C6941"/>
    <w:rsid w:val="005D0D81"/>
    <w:rsid w:val="005D4C36"/>
    <w:rsid w:val="005D4F5E"/>
    <w:rsid w:val="005D5175"/>
    <w:rsid w:val="005E0AAB"/>
    <w:rsid w:val="005E62C1"/>
    <w:rsid w:val="00600A2D"/>
    <w:rsid w:val="00601D47"/>
    <w:rsid w:val="00605D48"/>
    <w:rsid w:val="006304C8"/>
    <w:rsid w:val="00635305"/>
    <w:rsid w:val="00636C8A"/>
    <w:rsid w:val="006424F9"/>
    <w:rsid w:val="0066170D"/>
    <w:rsid w:val="00663ED5"/>
    <w:rsid w:val="006659A3"/>
    <w:rsid w:val="00670F6E"/>
    <w:rsid w:val="00682EB9"/>
    <w:rsid w:val="006A0FAE"/>
    <w:rsid w:val="006A56AD"/>
    <w:rsid w:val="006B411C"/>
    <w:rsid w:val="006C1733"/>
    <w:rsid w:val="006E147C"/>
    <w:rsid w:val="00706BCA"/>
    <w:rsid w:val="00713809"/>
    <w:rsid w:val="00723C05"/>
    <w:rsid w:val="00726CAB"/>
    <w:rsid w:val="00752765"/>
    <w:rsid w:val="00756A59"/>
    <w:rsid w:val="00764900"/>
    <w:rsid w:val="007801DC"/>
    <w:rsid w:val="007A2B81"/>
    <w:rsid w:val="007A7F88"/>
    <w:rsid w:val="007B01EC"/>
    <w:rsid w:val="007B6630"/>
    <w:rsid w:val="007C0DCD"/>
    <w:rsid w:val="007C1224"/>
    <w:rsid w:val="007C1D88"/>
    <w:rsid w:val="007C713B"/>
    <w:rsid w:val="007E5019"/>
    <w:rsid w:val="007F53F4"/>
    <w:rsid w:val="0080045A"/>
    <w:rsid w:val="00804823"/>
    <w:rsid w:val="00817E2A"/>
    <w:rsid w:val="00822F54"/>
    <w:rsid w:val="0082443F"/>
    <w:rsid w:val="00827180"/>
    <w:rsid w:val="0083421E"/>
    <w:rsid w:val="008367D7"/>
    <w:rsid w:val="00836C02"/>
    <w:rsid w:val="0083724D"/>
    <w:rsid w:val="008415AC"/>
    <w:rsid w:val="008519E0"/>
    <w:rsid w:val="00875994"/>
    <w:rsid w:val="0089473A"/>
    <w:rsid w:val="00894861"/>
    <w:rsid w:val="00895D20"/>
    <w:rsid w:val="008B0408"/>
    <w:rsid w:val="008B0959"/>
    <w:rsid w:val="008C39EE"/>
    <w:rsid w:val="008D26AA"/>
    <w:rsid w:val="008D6805"/>
    <w:rsid w:val="008D6E60"/>
    <w:rsid w:val="008F2C1B"/>
    <w:rsid w:val="008F6728"/>
    <w:rsid w:val="00910F0D"/>
    <w:rsid w:val="00911EEE"/>
    <w:rsid w:val="00912C9A"/>
    <w:rsid w:val="009133E8"/>
    <w:rsid w:val="009336F5"/>
    <w:rsid w:val="00935DAC"/>
    <w:rsid w:val="0094076C"/>
    <w:rsid w:val="00941BDA"/>
    <w:rsid w:val="00963ADA"/>
    <w:rsid w:val="0097636E"/>
    <w:rsid w:val="009865E5"/>
    <w:rsid w:val="009B031F"/>
    <w:rsid w:val="009B3DAB"/>
    <w:rsid w:val="009C1003"/>
    <w:rsid w:val="009C55EF"/>
    <w:rsid w:val="009D50B2"/>
    <w:rsid w:val="009E21C7"/>
    <w:rsid w:val="009E3FA3"/>
    <w:rsid w:val="009F0D9A"/>
    <w:rsid w:val="009F300B"/>
    <w:rsid w:val="00A05570"/>
    <w:rsid w:val="00A13F11"/>
    <w:rsid w:val="00A22B7B"/>
    <w:rsid w:val="00A30860"/>
    <w:rsid w:val="00A33A4D"/>
    <w:rsid w:val="00A36FEA"/>
    <w:rsid w:val="00A44079"/>
    <w:rsid w:val="00A442D4"/>
    <w:rsid w:val="00A53513"/>
    <w:rsid w:val="00A65181"/>
    <w:rsid w:val="00A7026D"/>
    <w:rsid w:val="00A77A03"/>
    <w:rsid w:val="00A84F6B"/>
    <w:rsid w:val="00A87868"/>
    <w:rsid w:val="00AB04D9"/>
    <w:rsid w:val="00AB5C61"/>
    <w:rsid w:val="00AB64E6"/>
    <w:rsid w:val="00AD2BA1"/>
    <w:rsid w:val="00AD3046"/>
    <w:rsid w:val="00AD40F5"/>
    <w:rsid w:val="00AE1123"/>
    <w:rsid w:val="00AE146F"/>
    <w:rsid w:val="00AE381A"/>
    <w:rsid w:val="00AE66BF"/>
    <w:rsid w:val="00AF1388"/>
    <w:rsid w:val="00AF3737"/>
    <w:rsid w:val="00B01F8B"/>
    <w:rsid w:val="00B039C6"/>
    <w:rsid w:val="00B10AB9"/>
    <w:rsid w:val="00B11439"/>
    <w:rsid w:val="00B30A3F"/>
    <w:rsid w:val="00B36DFA"/>
    <w:rsid w:val="00B40A5A"/>
    <w:rsid w:val="00B41C62"/>
    <w:rsid w:val="00B51CAD"/>
    <w:rsid w:val="00B524F1"/>
    <w:rsid w:val="00B543B5"/>
    <w:rsid w:val="00B6696D"/>
    <w:rsid w:val="00B7774A"/>
    <w:rsid w:val="00B91AE0"/>
    <w:rsid w:val="00B9457B"/>
    <w:rsid w:val="00B94CF5"/>
    <w:rsid w:val="00B97CF9"/>
    <w:rsid w:val="00BB57D8"/>
    <w:rsid w:val="00BB6012"/>
    <w:rsid w:val="00BC38FA"/>
    <w:rsid w:val="00BE4803"/>
    <w:rsid w:val="00BF5461"/>
    <w:rsid w:val="00BF6D6B"/>
    <w:rsid w:val="00C0097F"/>
    <w:rsid w:val="00C025B4"/>
    <w:rsid w:val="00C027A4"/>
    <w:rsid w:val="00C13787"/>
    <w:rsid w:val="00C16F25"/>
    <w:rsid w:val="00C20F40"/>
    <w:rsid w:val="00C44735"/>
    <w:rsid w:val="00C44EAA"/>
    <w:rsid w:val="00C51C76"/>
    <w:rsid w:val="00C6724E"/>
    <w:rsid w:val="00C70408"/>
    <w:rsid w:val="00C83123"/>
    <w:rsid w:val="00C83133"/>
    <w:rsid w:val="00C97C61"/>
    <w:rsid w:val="00CA19BA"/>
    <w:rsid w:val="00CA2394"/>
    <w:rsid w:val="00CA77D8"/>
    <w:rsid w:val="00CC0F58"/>
    <w:rsid w:val="00CC228C"/>
    <w:rsid w:val="00CC51FC"/>
    <w:rsid w:val="00CD6672"/>
    <w:rsid w:val="00CF6110"/>
    <w:rsid w:val="00CF6BED"/>
    <w:rsid w:val="00D02C6D"/>
    <w:rsid w:val="00D07307"/>
    <w:rsid w:val="00D13024"/>
    <w:rsid w:val="00D16F78"/>
    <w:rsid w:val="00D17F84"/>
    <w:rsid w:val="00D26B0F"/>
    <w:rsid w:val="00D36095"/>
    <w:rsid w:val="00D617AF"/>
    <w:rsid w:val="00D735B5"/>
    <w:rsid w:val="00D9565E"/>
    <w:rsid w:val="00D95B43"/>
    <w:rsid w:val="00DA27AF"/>
    <w:rsid w:val="00DA625A"/>
    <w:rsid w:val="00DB0219"/>
    <w:rsid w:val="00DB60CE"/>
    <w:rsid w:val="00DC2FF5"/>
    <w:rsid w:val="00DD3FB0"/>
    <w:rsid w:val="00DE454B"/>
    <w:rsid w:val="00DF0ACB"/>
    <w:rsid w:val="00DF198D"/>
    <w:rsid w:val="00E057E2"/>
    <w:rsid w:val="00E1436F"/>
    <w:rsid w:val="00E16DFE"/>
    <w:rsid w:val="00E2572C"/>
    <w:rsid w:val="00E26B58"/>
    <w:rsid w:val="00E3165A"/>
    <w:rsid w:val="00E33B7E"/>
    <w:rsid w:val="00E35C93"/>
    <w:rsid w:val="00E45AAC"/>
    <w:rsid w:val="00E52E7F"/>
    <w:rsid w:val="00E61BAD"/>
    <w:rsid w:val="00E66F31"/>
    <w:rsid w:val="00E70761"/>
    <w:rsid w:val="00E75647"/>
    <w:rsid w:val="00E77EBE"/>
    <w:rsid w:val="00E812A3"/>
    <w:rsid w:val="00E831D3"/>
    <w:rsid w:val="00E85D06"/>
    <w:rsid w:val="00E87E0A"/>
    <w:rsid w:val="00E90FAA"/>
    <w:rsid w:val="00E924E0"/>
    <w:rsid w:val="00E932E7"/>
    <w:rsid w:val="00EA0347"/>
    <w:rsid w:val="00EB0BAF"/>
    <w:rsid w:val="00EB4E86"/>
    <w:rsid w:val="00EB722A"/>
    <w:rsid w:val="00ED08BF"/>
    <w:rsid w:val="00ED3498"/>
    <w:rsid w:val="00EE57AF"/>
    <w:rsid w:val="00F01617"/>
    <w:rsid w:val="00F33791"/>
    <w:rsid w:val="00F37700"/>
    <w:rsid w:val="00F53490"/>
    <w:rsid w:val="00F55673"/>
    <w:rsid w:val="00F571ED"/>
    <w:rsid w:val="00F64044"/>
    <w:rsid w:val="00F701ED"/>
    <w:rsid w:val="00F70386"/>
    <w:rsid w:val="00F71AC3"/>
    <w:rsid w:val="00F830BF"/>
    <w:rsid w:val="00F8500C"/>
    <w:rsid w:val="00F91FD9"/>
    <w:rsid w:val="00F97C32"/>
    <w:rsid w:val="00FA2E1E"/>
    <w:rsid w:val="00FA3145"/>
    <w:rsid w:val="00FE139E"/>
    <w:rsid w:val="00FE2B16"/>
    <w:rsid w:val="00FF0F00"/>
    <w:rsid w:val="02A10158"/>
    <w:rsid w:val="051F28A6"/>
    <w:rsid w:val="06180495"/>
    <w:rsid w:val="07473373"/>
    <w:rsid w:val="07DB32E0"/>
    <w:rsid w:val="08F00BBF"/>
    <w:rsid w:val="0A1E583F"/>
    <w:rsid w:val="0A7559D9"/>
    <w:rsid w:val="0AA4727C"/>
    <w:rsid w:val="0DBB44BE"/>
    <w:rsid w:val="10C83C29"/>
    <w:rsid w:val="116C446D"/>
    <w:rsid w:val="12B73C14"/>
    <w:rsid w:val="13935AED"/>
    <w:rsid w:val="14F84C10"/>
    <w:rsid w:val="155823BC"/>
    <w:rsid w:val="15C16883"/>
    <w:rsid w:val="16BD7CEF"/>
    <w:rsid w:val="17183BC3"/>
    <w:rsid w:val="187214EF"/>
    <w:rsid w:val="18DF24CE"/>
    <w:rsid w:val="1A02739D"/>
    <w:rsid w:val="1BB94E3A"/>
    <w:rsid w:val="1BD23855"/>
    <w:rsid w:val="1D7124C9"/>
    <w:rsid w:val="1D745DA5"/>
    <w:rsid w:val="1E17773C"/>
    <w:rsid w:val="24775ECA"/>
    <w:rsid w:val="282B564C"/>
    <w:rsid w:val="2A7D4AD3"/>
    <w:rsid w:val="2A9D0021"/>
    <w:rsid w:val="2BC26FFC"/>
    <w:rsid w:val="2BE007A3"/>
    <w:rsid w:val="2C59196F"/>
    <w:rsid w:val="2CC327CF"/>
    <w:rsid w:val="2E1105ED"/>
    <w:rsid w:val="365661BD"/>
    <w:rsid w:val="36627F4D"/>
    <w:rsid w:val="36BB3A03"/>
    <w:rsid w:val="389F305C"/>
    <w:rsid w:val="39F53C56"/>
    <w:rsid w:val="3A8A4A28"/>
    <w:rsid w:val="3AD52FD5"/>
    <w:rsid w:val="3FAE7B18"/>
    <w:rsid w:val="403F50B8"/>
    <w:rsid w:val="416B519D"/>
    <w:rsid w:val="42055CD4"/>
    <w:rsid w:val="46544DF8"/>
    <w:rsid w:val="46762894"/>
    <w:rsid w:val="46CC2BAD"/>
    <w:rsid w:val="47DC1DB4"/>
    <w:rsid w:val="483C3321"/>
    <w:rsid w:val="48D1272B"/>
    <w:rsid w:val="4A4F363D"/>
    <w:rsid w:val="4C306C13"/>
    <w:rsid w:val="4C3D65E3"/>
    <w:rsid w:val="4CE93F91"/>
    <w:rsid w:val="50267A10"/>
    <w:rsid w:val="526A2382"/>
    <w:rsid w:val="53FB42B0"/>
    <w:rsid w:val="544965A6"/>
    <w:rsid w:val="567C41C5"/>
    <w:rsid w:val="582C4C9A"/>
    <w:rsid w:val="58C54353"/>
    <w:rsid w:val="64D85396"/>
    <w:rsid w:val="6BB64E7E"/>
    <w:rsid w:val="6BE021DB"/>
    <w:rsid w:val="6FE37B85"/>
    <w:rsid w:val="701B036B"/>
    <w:rsid w:val="709C0B61"/>
    <w:rsid w:val="713911F4"/>
    <w:rsid w:val="73E64646"/>
    <w:rsid w:val="754311A6"/>
    <w:rsid w:val="764B6D4E"/>
    <w:rsid w:val="76614288"/>
    <w:rsid w:val="768A2CCD"/>
    <w:rsid w:val="7C3B0B8E"/>
    <w:rsid w:val="7DBB23AF"/>
    <w:rsid w:val="7E3633E6"/>
    <w:rsid w:val="7E67557B"/>
    <w:rsid w:val="7F77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8"/>
    <w:unhideWhenUsed/>
    <w:qFormat/>
    <w:uiPriority w:val="99"/>
    <w:rPr>
      <w:b/>
      <w:bCs/>
    </w:rPr>
  </w:style>
  <w:style w:type="paragraph" w:styleId="3">
    <w:name w:val="annotation text"/>
    <w:basedOn w:val="1"/>
    <w:link w:val="19"/>
    <w:unhideWhenUsed/>
    <w:qFormat/>
    <w:uiPriority w:val="99"/>
    <w:pPr>
      <w:spacing w:after="200" w:line="276" w:lineRule="auto"/>
      <w:jc w:val="left"/>
    </w:pPr>
    <w:rPr>
      <w:rFonts w:ascii="等线" w:hAnsi="等线" w:eastAsia="等线" w:cs="Times New Roman"/>
    </w:rPr>
  </w:style>
  <w:style w:type="paragraph" w:styleId="4">
    <w:name w:val="Normal Indent"/>
    <w:basedOn w:val="1"/>
    <w:qFormat/>
    <w:uiPriority w:val="0"/>
    <w:pPr>
      <w:ind w:firstLine="630"/>
    </w:pPr>
    <w:rPr>
      <w:rFonts w:ascii="Times New Roman" w:hAnsi="Times New Roman" w:eastAsia="仿宋_GB2312"/>
      <w:kern w:val="0"/>
      <w:sz w:val="32"/>
      <w:szCs w:val="20"/>
    </w:rPr>
  </w:style>
  <w:style w:type="paragraph" w:styleId="5">
    <w:name w:val="Balloon Text"/>
    <w:basedOn w:val="1"/>
    <w:link w:val="20"/>
    <w:unhideWhenUsed/>
    <w:qFormat/>
    <w:uiPriority w:val="99"/>
    <w:pPr>
      <w:spacing w:after="200" w:line="276" w:lineRule="auto"/>
    </w:pPr>
    <w:rPr>
      <w:rFonts w:ascii="等线" w:hAnsi="等线" w:eastAsia="等线" w:cs="Times New Roman"/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  <w:rPr>
      <w:rFonts w:eastAsia="宋体"/>
      <w:sz w:val="28"/>
    </w:rPr>
  </w:style>
  <w:style w:type="character" w:styleId="10">
    <w:name w:val="annotation reference"/>
    <w:basedOn w:val="8"/>
    <w:unhideWhenUsed/>
    <w:qFormat/>
    <w:uiPriority w:val="99"/>
    <w:rPr>
      <w:rFonts w:ascii="Calibri" w:hAnsi="Calibri" w:eastAsia="宋体" w:cs="Times New Roman"/>
      <w:sz w:val="21"/>
      <w:szCs w:val="21"/>
    </w:rPr>
  </w:style>
  <w:style w:type="table" w:styleId="12">
    <w:name w:val="Table Grid"/>
    <w:basedOn w:val="11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13">
    <w:name w:val="主题词"/>
    <w:basedOn w:val="1"/>
    <w:qFormat/>
    <w:uiPriority w:val="0"/>
    <w:pPr>
      <w:ind w:left="1246" w:hanging="1246"/>
    </w:pPr>
    <w:rPr>
      <w:rFonts w:eastAsia="公文小标宋简"/>
    </w:rPr>
  </w:style>
  <w:style w:type="paragraph" w:customStyle="1" w:styleId="14">
    <w:name w:val="秘密紧急"/>
    <w:basedOn w:val="1"/>
    <w:qFormat/>
    <w:uiPriority w:val="0"/>
    <w:pPr>
      <w:jc w:val="right"/>
    </w:pPr>
    <w:rPr>
      <w:rFonts w:ascii="黑体" w:hAnsi="Times New Roman" w:eastAsia="黑体"/>
      <w:sz w:val="32"/>
      <w:szCs w:val="20"/>
    </w:rPr>
  </w:style>
  <w:style w:type="paragraph" w:customStyle="1" w:styleId="15">
    <w:name w:val="抄 送"/>
    <w:basedOn w:val="13"/>
    <w:qFormat/>
    <w:uiPriority w:val="0"/>
    <w:rPr>
      <w:rFonts w:ascii="Times New Roman" w:hAnsi="Times New Roman" w:eastAsia="仿宋_GB2312"/>
      <w:sz w:val="32"/>
      <w:szCs w:val="20"/>
    </w:rPr>
  </w:style>
  <w:style w:type="character" w:customStyle="1" w:styleId="16">
    <w:name w:val="页脚 字符"/>
    <w:basedOn w:val="8"/>
    <w:link w:val="6"/>
    <w:qFormat/>
    <w:uiPriority w:val="0"/>
    <w:rPr>
      <w:rFonts w:ascii="Calibri" w:hAnsi="Calibri" w:eastAsia="宋体" w:cs="Times New Roman"/>
      <w:kern w:val="0"/>
      <w:sz w:val="18"/>
      <w:szCs w:val="18"/>
    </w:rPr>
  </w:style>
  <w:style w:type="character" w:customStyle="1" w:styleId="17">
    <w:name w:val="页眉 字符"/>
    <w:basedOn w:val="8"/>
    <w:link w:val="7"/>
    <w:qFormat/>
    <w:uiPriority w:val="99"/>
    <w:rPr>
      <w:kern w:val="2"/>
      <w:sz w:val="18"/>
      <w:szCs w:val="18"/>
    </w:rPr>
  </w:style>
  <w:style w:type="character" w:customStyle="1" w:styleId="18">
    <w:name w:val="批注主题 字符"/>
    <w:basedOn w:val="19"/>
    <w:link w:val="2"/>
    <w:semiHidden/>
    <w:qFormat/>
    <w:uiPriority w:val="99"/>
    <w:rPr>
      <w:b/>
      <w:bCs/>
    </w:rPr>
  </w:style>
  <w:style w:type="character" w:customStyle="1" w:styleId="19">
    <w:name w:val="批注文字 字符"/>
    <w:basedOn w:val="8"/>
    <w:link w:val="3"/>
    <w:qFormat/>
    <w:uiPriority w:val="99"/>
    <w:rPr>
      <w:rFonts w:ascii="Calibri" w:hAnsi="Calibri" w:eastAsia="宋体" w:cs="Times New Roman"/>
    </w:rPr>
  </w:style>
  <w:style w:type="character" w:customStyle="1" w:styleId="20">
    <w:name w:val="批注框文本 字符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WANG JIAN</Company>
  <Pages>2</Pages>
  <Words>14</Words>
  <Characters>81</Characters>
  <Lines>1</Lines>
  <Paragraphs>1</Paragraphs>
  <TotalTime>17</TotalTime>
  <ScaleCrop>false</ScaleCrop>
  <LinksUpToDate>false</LinksUpToDate>
  <CharactersWithSpaces>94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2013-08-26T06:22:00Z</dcterms:created>
  <dc:creator>系统管理员</dc:creator>
  <cp:lastModifiedBy>余顺礴</cp:lastModifiedBy>
  <dcterms:modified xsi:type="dcterms:W3CDTF">2020-05-26T06:41:18Z</dcterms:modified>
  <dc:title>	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