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w:t>
      </w:r>
      <w:r>
        <w:rPr>
          <w:rFonts w:hint="eastAsia" w:ascii="方正仿宋_GBK" w:hAnsi="方正仿宋_GBK" w:eastAsia="方正仿宋_GBK" w:cs="方正仿宋_GBK"/>
          <w:color w:val="000000"/>
          <w:sz w:val="32"/>
          <w:lang w:val="en-US" w:eastAsia="zh-CN"/>
        </w:rPr>
        <w:t>1</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z w:val="32"/>
          <w:lang w:val="en-US" w:eastAsia="zh-CN"/>
        </w:rPr>
        <w:t xml:space="preserve"> </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关于新平甬福环保有限责任公司150万吨固废资源化综合利用项目环境影响报告表的批复</w:t>
      </w:r>
    </w:p>
    <w:p>
      <w:pPr>
        <w:spacing w:line="560" w:lineRule="exact"/>
        <w:jc w:val="center"/>
        <w:rPr>
          <w:rFonts w:ascii="方正小标宋简体" w:eastAsia="方正小标宋简体"/>
          <w:b/>
          <w:bCs/>
          <w:kern w:val="0"/>
          <w:sz w:val="44"/>
          <w:szCs w:val="44"/>
        </w:rPr>
      </w:pPr>
    </w:p>
    <w:p>
      <w:pPr>
        <w:snapToGrid w:val="0"/>
        <w:spacing w:line="54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新平甬福环保有限责任公司:</w:t>
      </w:r>
    </w:p>
    <w:p>
      <w:pPr>
        <w:spacing w:line="54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val="en-US" w:eastAsia="zh-CN"/>
        </w:rPr>
        <w:t>公司</w:t>
      </w:r>
      <w:r>
        <w:rPr>
          <w:rFonts w:hint="eastAsia" w:ascii="方正仿宋_GBK" w:hAnsi="方正仿宋_GBK" w:eastAsia="方正仿宋_GBK" w:cs="方正仿宋_GBK"/>
          <w:bCs/>
          <w:kern w:val="0"/>
          <w:sz w:val="32"/>
          <w:szCs w:val="32"/>
        </w:rPr>
        <w:t>委托云南绿诚环境科技有限公司编制的《新平甬福环保有限责任公司150万吨固废资源化综合利用项目环境影响报告表》（以下简称《报告表》）及项目报批申请等收悉，经我局建设项目环境影响评价审查委员会审查，意见如下：</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表》结论、技术评审意见，原则同意新平甬福环保有限责任公司150万吨固废资源化综合利用项目按《报告表》中所述的内容、性质、规模、地点和环境保护对策措施进行项目建设。报批的《报告表》经批复后可作为该项目设计、建设、竣工环境保护验收及日常运行管理的依据。</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二、新平甬福环保有限责任公司150万吨固废资源化综合利用</w:t>
      </w:r>
      <w:r>
        <w:rPr>
          <w:rFonts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rPr>
        <w:t>位于新平矿业循环经济工业园区扬武大开门片区云南玉溪仙福钢铁（集团）有限公司</w:t>
      </w:r>
      <w:r>
        <w:rPr>
          <w:rFonts w:ascii="方正仿宋_GBK" w:hAnsi="方正仿宋_GBK" w:eastAsia="方正仿宋_GBK" w:cs="方正仿宋_GBK"/>
          <w:sz w:val="32"/>
          <w:szCs w:val="32"/>
        </w:rPr>
        <w:t>旁</w:t>
      </w:r>
      <w:r>
        <w:rPr>
          <w:rFonts w:hint="eastAsia" w:ascii="方正仿宋_GBK" w:hAnsi="方正仿宋_GBK" w:eastAsia="方正仿宋_GBK" w:cs="方正仿宋_GBK"/>
          <w:sz w:val="32"/>
          <w:szCs w:val="32"/>
        </w:rPr>
        <w:t>。项目于2020年6月2日取得</w:t>
      </w:r>
      <w:r>
        <w:rPr>
          <w:rFonts w:ascii="方正仿宋_GBK" w:hAnsi="方正仿宋_GBK" w:eastAsia="方正仿宋_GBK" w:cs="方正仿宋_GBK"/>
          <w:sz w:val="32"/>
          <w:szCs w:val="32"/>
        </w:rPr>
        <w:t>新平县发展和改革局出具的《投资项目备案证》</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新发改投资备案〔2020〕37号），项目代码：2020-530427-42-03-043780。</w:t>
      </w:r>
      <w:r>
        <w:rPr>
          <w:rFonts w:hint="eastAsia" w:ascii="方正仿宋_GBK" w:hAnsi="方正仿宋_GBK" w:eastAsia="方正仿宋_GBK" w:cs="方正仿宋_GBK"/>
          <w:sz w:val="32"/>
          <w:szCs w:val="32"/>
        </w:rPr>
        <w:t>建设性质为</w:t>
      </w:r>
      <w:r>
        <w:rPr>
          <w:rFonts w:hint="eastAsia" w:ascii="方正仿宋_GBK" w:hAnsi="方正仿宋_GBK" w:eastAsia="方正仿宋_GBK" w:cs="方正仿宋_GBK"/>
          <w:sz w:val="32"/>
          <w:szCs w:val="32"/>
          <w:lang w:val="en-US" w:eastAsia="zh-CN"/>
        </w:rPr>
        <w:t>新</w:t>
      </w:r>
      <w:r>
        <w:rPr>
          <w:rFonts w:hint="eastAsia" w:ascii="方正仿宋_GBK" w:hAnsi="方正仿宋_GBK" w:eastAsia="方正仿宋_GBK" w:cs="方正仿宋_GBK"/>
          <w:sz w:val="32"/>
          <w:szCs w:val="32"/>
        </w:rPr>
        <w:t>建。建设规模及内容：</w:t>
      </w:r>
      <w:r>
        <w:rPr>
          <w:rFonts w:ascii="方正仿宋_GBK" w:hAnsi="方正仿宋_GBK" w:eastAsia="方正仿宋_GBK" w:cs="方正仿宋_GBK"/>
          <w:sz w:val="32"/>
          <w:szCs w:val="32"/>
        </w:rPr>
        <w:t>项目占地面积约116亩</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76836平方米</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建筑面积23800平方米，</w:t>
      </w:r>
      <w:r>
        <w:rPr>
          <w:rFonts w:ascii="方正仿宋_GBK" w:hAnsi="方正仿宋_GBK" w:eastAsia="方正仿宋_GBK" w:cs="方正仿宋_GBK"/>
          <w:sz w:val="32"/>
          <w:szCs w:val="32"/>
        </w:rPr>
        <w:t>新建一条年产150万吨</w:t>
      </w:r>
      <w:r>
        <w:rPr>
          <w:rFonts w:hint="eastAsia" w:ascii="方正仿宋_GBK" w:hAnsi="方正仿宋_GBK" w:eastAsia="方正仿宋_GBK" w:cs="方正仿宋_GBK"/>
          <w:sz w:val="32"/>
          <w:szCs w:val="32"/>
        </w:rPr>
        <w:t>矿渣</w:t>
      </w:r>
      <w:r>
        <w:rPr>
          <w:rFonts w:ascii="方正仿宋_GBK" w:hAnsi="方正仿宋_GBK" w:eastAsia="方正仿宋_GBK" w:cs="方正仿宋_GBK"/>
          <w:sz w:val="32"/>
          <w:szCs w:val="32"/>
        </w:rPr>
        <w:t>微粉生产线，包括</w:t>
      </w:r>
      <w:r>
        <w:rPr>
          <w:rFonts w:hint="eastAsia" w:ascii="方正仿宋_GBK" w:hAnsi="方正仿宋_GBK" w:eastAsia="方正仿宋_GBK" w:cs="方正仿宋_GBK"/>
          <w:sz w:val="32"/>
          <w:szCs w:val="32"/>
        </w:rPr>
        <w:t>矿渣</w:t>
      </w:r>
      <w:r>
        <w:rPr>
          <w:rFonts w:ascii="方正仿宋_GBK" w:hAnsi="方正仿宋_GBK" w:eastAsia="方正仿宋_GBK" w:cs="方正仿宋_GBK"/>
          <w:sz w:val="32"/>
          <w:szCs w:val="32"/>
        </w:rPr>
        <w:t>卸料及输送</w:t>
      </w:r>
      <w:r>
        <w:rPr>
          <w:rFonts w:hint="eastAsia" w:ascii="方正仿宋_GBK" w:hAnsi="方正仿宋_GBK" w:eastAsia="方正仿宋_GBK" w:cs="方正仿宋_GBK"/>
          <w:sz w:val="32"/>
          <w:szCs w:val="32"/>
        </w:rPr>
        <w:t>、矿</w:t>
      </w:r>
      <w:r>
        <w:rPr>
          <w:rFonts w:ascii="方正仿宋_GBK" w:hAnsi="方正仿宋_GBK" w:eastAsia="方正仿宋_GBK" w:cs="方正仿宋_GBK"/>
          <w:sz w:val="32"/>
          <w:szCs w:val="32"/>
        </w:rPr>
        <w:t>渣粉磨</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成品储存</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散装及配套的辅助设施。</w:t>
      </w:r>
      <w:r>
        <w:rPr>
          <w:rFonts w:hint="eastAsia" w:ascii="方正仿宋_GBK" w:hAnsi="方正仿宋_GBK" w:eastAsia="方正仿宋_GBK" w:cs="方正仿宋_GBK"/>
          <w:sz w:val="32"/>
          <w:szCs w:val="32"/>
        </w:rPr>
        <w:t>项目总投资20981万元，</w:t>
      </w:r>
      <w:r>
        <w:rPr>
          <w:rFonts w:ascii="方正仿宋_GBK" w:hAnsi="方正仿宋_GBK" w:eastAsia="方正仿宋_GBK" w:cs="方正仿宋_GBK"/>
          <w:sz w:val="32"/>
          <w:szCs w:val="32"/>
        </w:rPr>
        <w:t>其中环保投资</w:t>
      </w:r>
      <w:r>
        <w:rPr>
          <w:rFonts w:hint="eastAsia" w:ascii="方正仿宋_GBK" w:hAnsi="方正仿宋_GBK" w:eastAsia="方正仿宋_GBK" w:cs="方正仿宋_GBK"/>
          <w:sz w:val="32"/>
          <w:szCs w:val="32"/>
        </w:rPr>
        <w:t>844.42</w:t>
      </w:r>
      <w:r>
        <w:rPr>
          <w:rFonts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环保投资比例为</w:t>
      </w:r>
      <w:r>
        <w:rPr>
          <w:rFonts w:hint="eastAsia" w:ascii="方正仿宋_GBK" w:hAnsi="方正仿宋_GBK" w:eastAsia="方正仿宋_GBK" w:cs="方正仿宋_GBK"/>
          <w:sz w:val="32"/>
          <w:szCs w:val="32"/>
        </w:rPr>
        <w:t>4.02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三、要求你公司在项目建设和运营过程中必须严格按照《报告表》的要求做好环境保护工作，全面落实环保对策措施：</w:t>
      </w:r>
    </w:p>
    <w:p>
      <w:pPr>
        <w:spacing w:line="54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（一）项目必须严格落实《报告表》中的各项环境保护设施及污染防治对策措施，项目建设和运行不得降低区域环境功能，环境质量标准和排放标准按《报告表》中所列的标准执行。</w:t>
      </w:r>
    </w:p>
    <w:p>
      <w:pPr>
        <w:pStyle w:val="12"/>
        <w:shd w:val="clear" w:color="auto" w:fill="FFFFFF"/>
        <w:spacing w:before="0" w:beforeAutospacing="0" w:after="0" w:afterAutospacing="0" w:line="540" w:lineRule="exact"/>
        <w:ind w:firstLine="640" w:firstLineChars="200"/>
        <w:jc w:val="both"/>
        <w:rPr>
          <w:rFonts w:ascii="方正仿宋_GBK" w:hAnsi="方正仿宋_GBK" w:eastAsia="方正仿宋_GBK" w:cs="方正仿宋_GBK"/>
          <w:bCs/>
          <w:color w:val="000000" w:themeColor="text1"/>
          <w:sz w:val="32"/>
          <w:szCs w:val="32"/>
        </w:rPr>
      </w:pPr>
      <w:r>
        <w:rPr>
          <w:rFonts w:hint="eastAsia" w:ascii="方正仿宋_GBK" w:hAnsi="方正仿宋_GBK" w:eastAsia="方正仿宋_GBK" w:cs="方正仿宋_GBK"/>
          <w:bCs/>
          <w:color w:val="000000" w:themeColor="text1"/>
          <w:sz w:val="32"/>
          <w:szCs w:val="32"/>
        </w:rPr>
        <w:t>（二）建设单位</w:t>
      </w:r>
      <w:r>
        <w:rPr>
          <w:rFonts w:hint="eastAsia" w:ascii="方正仿宋_GBK" w:eastAsia="方正仿宋_GBK"/>
          <w:bCs/>
          <w:color w:val="000000" w:themeColor="text1"/>
          <w:sz w:val="32"/>
          <w:szCs w:val="32"/>
        </w:rPr>
        <w:t>须严格做好项目施工期间的各项环境保护工作，落实扬尘、废水、固废、噪声等污染防治措施，清洁文明施工，严防施工期对环境保护目标及周围环境造成污染。</w:t>
      </w:r>
    </w:p>
    <w:p>
      <w:pPr>
        <w:spacing w:line="540" w:lineRule="exact"/>
        <w:ind w:firstLine="640" w:firstLineChars="200"/>
        <w:rPr>
          <w:rFonts w:hint="eastAsia"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（三）严格落实大气污染防治措施。分别对</w:t>
      </w:r>
      <w:r>
        <w:rPr>
          <w:rFonts w:ascii="方正仿宋_GBK" w:hAnsi="方正仿宋_GBK" w:eastAsia="方正仿宋_GBK" w:cs="方正仿宋_GBK"/>
          <w:bCs/>
          <w:color w:val="000000" w:themeColor="text1"/>
          <w:kern w:val="0"/>
          <w:sz w:val="32"/>
          <w:szCs w:val="32"/>
        </w:rPr>
        <w:t>立磨机粉磨</w:t>
      </w:r>
      <w:r>
        <w:rPr>
          <w:rFonts w:hint="eastAsia" w:ascii="方正仿宋_GBK" w:hAnsi="方正仿宋_GBK" w:eastAsia="方正仿宋_GBK" w:cs="方正仿宋_GBK"/>
          <w:bCs/>
          <w:color w:val="000000" w:themeColor="text1"/>
          <w:kern w:val="0"/>
          <w:sz w:val="32"/>
          <w:szCs w:val="32"/>
        </w:rPr>
        <w:t>、</w:t>
      </w:r>
      <w:r>
        <w:rPr>
          <w:rFonts w:ascii="方正仿宋_GBK" w:hAnsi="方正仿宋_GBK" w:eastAsia="方正仿宋_GBK" w:cs="方正仿宋_GBK"/>
          <w:bCs/>
          <w:color w:val="000000" w:themeColor="text1"/>
          <w:kern w:val="0"/>
          <w:sz w:val="32"/>
          <w:szCs w:val="32"/>
        </w:rPr>
        <w:t>物料进入立磨机前</w:t>
      </w:r>
      <w:r>
        <w:rPr>
          <w:rFonts w:hint="eastAsia" w:ascii="方正仿宋_GBK" w:hAnsi="方正仿宋_GBK" w:eastAsia="方正仿宋_GBK" w:cs="方正仿宋_GBK"/>
          <w:bCs/>
          <w:color w:val="000000" w:themeColor="text1"/>
          <w:kern w:val="0"/>
          <w:sz w:val="32"/>
          <w:szCs w:val="32"/>
        </w:rPr>
        <w:t>、低硫煤</w:t>
      </w:r>
      <w:r>
        <w:rPr>
          <w:rFonts w:ascii="方正仿宋_GBK" w:hAnsi="方正仿宋_GBK" w:eastAsia="方正仿宋_GBK" w:cs="方正仿宋_GBK"/>
          <w:bCs/>
          <w:color w:val="000000" w:themeColor="text1"/>
          <w:kern w:val="0"/>
          <w:sz w:val="32"/>
          <w:szCs w:val="32"/>
        </w:rPr>
        <w:t>输送过程</w:t>
      </w:r>
      <w:r>
        <w:rPr>
          <w:rFonts w:hint="eastAsia" w:ascii="方正仿宋_GBK" w:hAnsi="方正仿宋_GBK" w:eastAsia="方正仿宋_GBK" w:cs="方正仿宋_GBK"/>
          <w:bCs/>
          <w:color w:val="000000" w:themeColor="text1"/>
          <w:kern w:val="0"/>
          <w:sz w:val="32"/>
          <w:szCs w:val="32"/>
        </w:rPr>
        <w:t>、低硫煤</w:t>
      </w:r>
      <w:r>
        <w:rPr>
          <w:rFonts w:ascii="方正仿宋_GBK" w:hAnsi="方正仿宋_GBK" w:eastAsia="方正仿宋_GBK" w:cs="方正仿宋_GBK"/>
          <w:bCs/>
          <w:color w:val="000000" w:themeColor="text1"/>
          <w:kern w:val="0"/>
          <w:sz w:val="32"/>
          <w:szCs w:val="32"/>
        </w:rPr>
        <w:t>仓</w:t>
      </w:r>
      <w:r>
        <w:rPr>
          <w:rFonts w:hint="eastAsia" w:ascii="方正仿宋_GBK" w:hAnsi="方正仿宋_GBK" w:eastAsia="方正仿宋_GBK" w:cs="方正仿宋_GBK"/>
          <w:bCs/>
          <w:color w:val="000000" w:themeColor="text1"/>
          <w:kern w:val="0"/>
          <w:sz w:val="32"/>
          <w:szCs w:val="32"/>
        </w:rPr>
        <w:t>、</w:t>
      </w:r>
      <w:r>
        <w:rPr>
          <w:rFonts w:ascii="方正仿宋_GBK" w:hAnsi="方正仿宋_GBK" w:eastAsia="方正仿宋_GBK" w:cs="方正仿宋_GBK"/>
          <w:bCs/>
          <w:color w:val="000000" w:themeColor="text1"/>
          <w:kern w:val="0"/>
          <w:sz w:val="32"/>
          <w:szCs w:val="32"/>
        </w:rPr>
        <w:t>产品进入矿粉仓提升机入口和出口</w:t>
      </w:r>
      <w:r>
        <w:rPr>
          <w:rFonts w:hint="eastAsia" w:ascii="方正仿宋_GBK" w:hAnsi="方正仿宋_GBK" w:eastAsia="方正仿宋_GBK" w:cs="方正仿宋_GBK"/>
          <w:bCs/>
          <w:color w:val="000000" w:themeColor="text1"/>
          <w:kern w:val="0"/>
          <w:sz w:val="32"/>
          <w:szCs w:val="32"/>
        </w:rPr>
        <w:t>、5个</w:t>
      </w:r>
      <w:r>
        <w:rPr>
          <w:rFonts w:ascii="方正仿宋_GBK" w:hAnsi="方正仿宋_GBK" w:eastAsia="方正仿宋_GBK" w:cs="方正仿宋_GBK"/>
          <w:bCs/>
          <w:color w:val="000000" w:themeColor="text1"/>
          <w:kern w:val="0"/>
          <w:sz w:val="32"/>
          <w:szCs w:val="32"/>
        </w:rPr>
        <w:t>矿粉仓库</w:t>
      </w:r>
      <w:r>
        <w:rPr>
          <w:rFonts w:hint="eastAsia" w:ascii="方正仿宋_GBK" w:hAnsi="方正仿宋_GBK" w:eastAsia="方正仿宋_GBK" w:cs="方正仿宋_GBK"/>
          <w:bCs/>
          <w:color w:val="000000" w:themeColor="text1"/>
          <w:kern w:val="0"/>
          <w:sz w:val="32"/>
          <w:szCs w:val="32"/>
        </w:rPr>
        <w:t>、5个</w:t>
      </w:r>
      <w:r>
        <w:rPr>
          <w:rFonts w:ascii="方正仿宋_GBK" w:hAnsi="方正仿宋_GBK" w:eastAsia="方正仿宋_GBK" w:cs="方正仿宋_GBK"/>
          <w:bCs/>
          <w:color w:val="000000" w:themeColor="text1"/>
          <w:kern w:val="0"/>
          <w:sz w:val="32"/>
          <w:szCs w:val="32"/>
        </w:rPr>
        <w:t>矿粉仓库</w:t>
      </w:r>
      <w:r>
        <w:rPr>
          <w:rFonts w:hint="eastAsia" w:ascii="方正仿宋_GBK" w:hAnsi="方正仿宋_GBK" w:eastAsia="方正仿宋_GBK" w:cs="方正仿宋_GBK"/>
          <w:bCs/>
          <w:color w:val="000000" w:themeColor="text1"/>
          <w:kern w:val="0"/>
          <w:sz w:val="32"/>
          <w:szCs w:val="32"/>
        </w:rPr>
        <w:t>底、</w:t>
      </w:r>
      <w:r>
        <w:rPr>
          <w:rFonts w:ascii="方正仿宋_GBK" w:hAnsi="方正仿宋_GBK" w:eastAsia="方正仿宋_GBK" w:cs="方正仿宋_GBK"/>
          <w:bCs/>
          <w:color w:val="000000" w:themeColor="text1"/>
          <w:kern w:val="0"/>
          <w:sz w:val="32"/>
          <w:szCs w:val="32"/>
        </w:rPr>
        <w:t>粉煤灰入库</w:t>
      </w:r>
      <w:r>
        <w:rPr>
          <w:rFonts w:hint="eastAsia" w:ascii="方正仿宋_GBK" w:hAnsi="方正仿宋_GBK" w:eastAsia="方正仿宋_GBK" w:cs="方正仿宋_GBK"/>
          <w:bCs/>
          <w:color w:val="000000" w:themeColor="text1"/>
          <w:kern w:val="0"/>
          <w:sz w:val="32"/>
          <w:szCs w:val="32"/>
        </w:rPr>
        <w:t>、</w:t>
      </w:r>
      <w:r>
        <w:rPr>
          <w:rFonts w:ascii="方正仿宋_GBK" w:hAnsi="方正仿宋_GBK" w:eastAsia="方正仿宋_GBK" w:cs="方正仿宋_GBK"/>
          <w:bCs/>
          <w:color w:val="000000" w:themeColor="text1"/>
          <w:kern w:val="0"/>
          <w:sz w:val="32"/>
          <w:szCs w:val="32"/>
        </w:rPr>
        <w:t>粉煤灰仓库底出料</w:t>
      </w:r>
      <w:r>
        <w:rPr>
          <w:rFonts w:hint="eastAsia" w:ascii="方正仿宋_GBK" w:hAnsi="方正仿宋_GBK" w:eastAsia="方正仿宋_GBK" w:cs="方正仿宋_GBK"/>
          <w:bCs/>
          <w:color w:val="000000" w:themeColor="text1"/>
          <w:kern w:val="0"/>
          <w:sz w:val="32"/>
          <w:szCs w:val="32"/>
        </w:rPr>
        <w:t>、低硫煤</w:t>
      </w:r>
      <w:r>
        <w:rPr>
          <w:rFonts w:ascii="方正仿宋_GBK" w:hAnsi="方正仿宋_GBK" w:eastAsia="方正仿宋_GBK" w:cs="方正仿宋_GBK"/>
          <w:bCs/>
          <w:color w:val="000000" w:themeColor="text1"/>
          <w:kern w:val="0"/>
          <w:sz w:val="32"/>
          <w:szCs w:val="32"/>
        </w:rPr>
        <w:t>破碎</w:t>
      </w:r>
      <w:r>
        <w:rPr>
          <w:rFonts w:hint="eastAsia" w:ascii="方正仿宋_GBK" w:hAnsi="方正仿宋_GBK" w:eastAsia="方正仿宋_GBK" w:cs="方正仿宋_GBK"/>
          <w:bCs/>
          <w:color w:val="000000" w:themeColor="text1"/>
          <w:kern w:val="0"/>
          <w:sz w:val="32"/>
          <w:szCs w:val="32"/>
        </w:rPr>
        <w:t>处分别设置布袋除尘器，共设置19台布袋除尘器，分别通过不低于15米的排气筒</w:t>
      </w:r>
      <w:r>
        <w:rPr>
          <w:rFonts w:hint="eastAsia" w:ascii="方正仿宋_GBK" w:hAnsi="方正仿宋_GBK" w:eastAsia="方正仿宋_GBK" w:cs="方正仿宋_GBK"/>
          <w:bCs/>
          <w:color w:val="000000" w:themeColor="text1"/>
          <w:kern w:val="0"/>
          <w:sz w:val="32"/>
          <w:szCs w:val="32"/>
          <w:lang w:val="en-US" w:eastAsia="zh-CN"/>
        </w:rPr>
        <w:t>达标</w:t>
      </w:r>
      <w:r>
        <w:rPr>
          <w:rFonts w:hint="eastAsia" w:ascii="方正仿宋_GBK" w:hAnsi="方正仿宋_GBK" w:eastAsia="方正仿宋_GBK" w:cs="方正仿宋_GBK"/>
          <w:bCs/>
          <w:color w:val="000000" w:themeColor="text1"/>
          <w:kern w:val="0"/>
          <w:sz w:val="32"/>
          <w:szCs w:val="32"/>
        </w:rPr>
        <w:t>排放</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对高炉水渣、钢渣、碎石、低硫煤堆场设置三面挡墙及遮雨棚，场地进行硬化，减少物料扬尘对周围环境的影响。并设置喷淋雾化设施对物料定时雾化喷淋降尘。运输道路扬尘通过设置1辆洒水车定时洒水，物料运输，采取密闭搬运或采用防尘布苫盖等防尘防洒漏措施，加强厂区内道路的清扫，降尘粉尘产生量</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热风炉</w:t>
      </w:r>
      <w:r>
        <w:rPr>
          <w:rFonts w:ascii="方正仿宋_GBK" w:hAnsi="方正仿宋_GBK" w:eastAsia="方正仿宋_GBK" w:cs="方正仿宋_GBK"/>
          <w:bCs/>
          <w:color w:val="000000" w:themeColor="text1"/>
          <w:kern w:val="0"/>
          <w:sz w:val="32"/>
          <w:szCs w:val="32"/>
        </w:rPr>
        <w:t>采用分级燃烧、控制温度等低氮燃烧技术，减少热力型氮氧化物产生</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应急情况下使用备用燃料低硫煤时，</w:t>
      </w:r>
      <w:r>
        <w:rPr>
          <w:rFonts w:ascii="方正仿宋_GBK" w:hAnsi="方正仿宋_GBK" w:eastAsia="方正仿宋_GBK" w:cs="方正仿宋_GBK"/>
          <w:bCs/>
          <w:color w:val="000000" w:themeColor="text1"/>
          <w:kern w:val="0"/>
          <w:sz w:val="32"/>
          <w:szCs w:val="32"/>
        </w:rPr>
        <w:t>在进料中适量加入石灰石或白云石，</w:t>
      </w:r>
      <w:r>
        <w:rPr>
          <w:rFonts w:hint="eastAsia" w:ascii="方正仿宋_GBK" w:hAnsi="方正仿宋_GBK" w:eastAsia="方正仿宋_GBK" w:cs="方正仿宋_GBK"/>
          <w:bCs/>
          <w:color w:val="000000" w:themeColor="text1"/>
          <w:kern w:val="0"/>
          <w:sz w:val="32"/>
          <w:szCs w:val="32"/>
        </w:rPr>
        <w:t>减</w:t>
      </w:r>
      <w:r>
        <w:rPr>
          <w:rFonts w:hint="eastAsia" w:ascii="方正仿宋_GBK" w:hAnsi="方正仿宋_GBK" w:eastAsia="方正仿宋_GBK" w:cs="方正仿宋_GBK"/>
          <w:bCs/>
          <w:color w:val="000000" w:themeColor="text1"/>
          <w:kern w:val="0"/>
          <w:sz w:val="32"/>
          <w:szCs w:val="32"/>
          <w:lang w:val="en-US" w:eastAsia="zh-CN"/>
        </w:rPr>
        <w:t>少</w:t>
      </w:r>
      <w:r>
        <w:rPr>
          <w:rFonts w:hint="eastAsia" w:ascii="方正仿宋_GBK" w:hAnsi="方正仿宋_GBK" w:eastAsia="方正仿宋_GBK" w:cs="方正仿宋_GBK"/>
          <w:bCs/>
          <w:color w:val="000000" w:themeColor="text1"/>
          <w:kern w:val="0"/>
          <w:sz w:val="32"/>
          <w:szCs w:val="32"/>
        </w:rPr>
        <w:t>烟气中二氧化硫的排放量</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粉煤灰采用密闭罐车运输，</w:t>
      </w:r>
      <w:r>
        <w:rPr>
          <w:rFonts w:ascii="方正仿宋_GBK" w:hAnsi="方正仿宋_GBK" w:eastAsia="方正仿宋_GBK" w:cs="方正仿宋_GBK"/>
          <w:bCs/>
          <w:color w:val="000000" w:themeColor="text1"/>
          <w:kern w:val="0"/>
          <w:sz w:val="32"/>
          <w:szCs w:val="32"/>
        </w:rPr>
        <w:t>物料运输车辆严禁超载负荷，配备专人加强厂区外围和厂区路面的清扫保洁，及时对运输道路洒水抑尘，减轻车辆运输扬尘对周边环境的影响</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制定严格的环境管理制度，定期对布袋除尘器进行巡检和维护，发现有破损迹象立马进行处理维修，防止事故性排放粉尘对周围环境造成重大影响。</w:t>
      </w:r>
    </w:p>
    <w:p>
      <w:pPr>
        <w:spacing w:line="54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（四）严格落实水污染防治措施。设置</w:t>
      </w:r>
      <w:r>
        <w:rPr>
          <w:rFonts w:ascii="方正仿宋_GBK" w:hAnsi="方正仿宋_GBK" w:eastAsia="方正仿宋_GBK" w:cs="方正仿宋_GBK"/>
          <w:bCs/>
          <w:color w:val="000000" w:themeColor="text1"/>
          <w:kern w:val="0"/>
          <w:sz w:val="32"/>
          <w:szCs w:val="32"/>
        </w:rPr>
        <w:t>有效容积为700m</w:t>
      </w:r>
      <w:r>
        <w:rPr>
          <w:rFonts w:ascii="方正仿宋_GBK" w:hAnsi="方正仿宋_GBK" w:eastAsia="方正仿宋_GBK" w:cs="方正仿宋_GBK"/>
          <w:bCs/>
          <w:color w:val="000000" w:themeColor="text1"/>
          <w:kern w:val="0"/>
          <w:sz w:val="32"/>
          <w:szCs w:val="32"/>
          <w:vertAlign w:val="superscript"/>
        </w:rPr>
        <w:t>3</w:t>
      </w:r>
      <w:r>
        <w:rPr>
          <w:rFonts w:hint="eastAsia" w:ascii="方正仿宋_GBK" w:hAnsi="方正仿宋_GBK" w:eastAsia="方正仿宋_GBK" w:cs="方正仿宋_GBK"/>
          <w:bCs/>
          <w:color w:val="000000" w:themeColor="text1"/>
          <w:kern w:val="0"/>
          <w:sz w:val="32"/>
          <w:szCs w:val="32"/>
        </w:rPr>
        <w:t>的</w:t>
      </w:r>
      <w:r>
        <w:rPr>
          <w:rFonts w:ascii="方正仿宋_GBK" w:hAnsi="方正仿宋_GBK" w:eastAsia="方正仿宋_GBK" w:cs="方正仿宋_GBK"/>
          <w:bCs/>
          <w:color w:val="000000" w:themeColor="text1"/>
          <w:kern w:val="0"/>
          <w:sz w:val="32"/>
          <w:szCs w:val="32"/>
        </w:rPr>
        <w:t>冷却水循环池兼消防水池一座，</w:t>
      </w:r>
      <w:r>
        <w:rPr>
          <w:rFonts w:hint="eastAsia" w:ascii="方正仿宋_GBK" w:hAnsi="方正仿宋_GBK" w:eastAsia="方正仿宋_GBK" w:cs="方正仿宋_GBK"/>
          <w:bCs/>
          <w:color w:val="000000" w:themeColor="text1"/>
          <w:kern w:val="0"/>
          <w:sz w:val="32"/>
          <w:szCs w:val="32"/>
        </w:rPr>
        <w:t>冷却水经冷却塔冷却后循环使用</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设置尺寸为Φ3m×4.5m集水池两座，</w:t>
      </w:r>
      <w:r>
        <w:rPr>
          <w:rFonts w:hint="eastAsia" w:ascii="方正仿宋_GBK" w:hAnsi="方正仿宋_GBK" w:eastAsia="方正仿宋_GBK" w:cs="方正仿宋_GBK"/>
          <w:bCs/>
          <w:color w:val="000000" w:themeColor="text1"/>
          <w:kern w:val="0"/>
          <w:sz w:val="32"/>
          <w:szCs w:val="32"/>
        </w:rPr>
        <w:t>用于收集处理过的生活污水，雨季储存在收集池内，用来晴天绿化</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设置有效容积为200m</w:t>
      </w:r>
      <w:r>
        <w:rPr>
          <w:rFonts w:ascii="方正仿宋_GBK" w:hAnsi="方正仿宋_GBK" w:eastAsia="方正仿宋_GBK" w:cs="方正仿宋_GBK"/>
          <w:bCs/>
          <w:color w:val="000000" w:themeColor="text1"/>
          <w:kern w:val="0"/>
          <w:sz w:val="32"/>
          <w:szCs w:val="32"/>
          <w:vertAlign w:val="superscript"/>
        </w:rPr>
        <w:t>3</w:t>
      </w:r>
      <w:r>
        <w:rPr>
          <w:rFonts w:ascii="方正仿宋_GBK" w:hAnsi="方正仿宋_GBK" w:eastAsia="方正仿宋_GBK" w:cs="方正仿宋_GBK"/>
          <w:bCs/>
          <w:color w:val="000000" w:themeColor="text1"/>
          <w:kern w:val="0"/>
          <w:sz w:val="32"/>
          <w:szCs w:val="32"/>
        </w:rPr>
        <w:t>沉淀池1座，</w:t>
      </w:r>
      <w:r>
        <w:rPr>
          <w:rFonts w:hint="eastAsia" w:ascii="方正仿宋_GBK" w:hAnsi="方正仿宋_GBK" w:eastAsia="方正仿宋_GBK" w:cs="方正仿宋_GBK"/>
          <w:bCs/>
          <w:color w:val="000000" w:themeColor="text1"/>
          <w:kern w:val="0"/>
          <w:sz w:val="32"/>
          <w:szCs w:val="32"/>
        </w:rPr>
        <w:t>高炉水渣沥水、冷却塔排水和软水制备系统排水经过沉淀后用于磨机内喷水</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在厂区空地及道路旁设置截排沟，初期雨水经收集后用于降尘</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食堂废水经隔油池处理后和其它生活污水一起进入化粪池，再经一体化</w:t>
      </w:r>
      <w:r>
        <w:rPr>
          <w:rFonts w:hint="eastAsia" w:ascii="方正仿宋_GBK" w:hAnsi="方正仿宋_GBK" w:eastAsia="方正仿宋_GBK" w:cs="方正仿宋_GBK"/>
          <w:bCs/>
          <w:color w:val="000000" w:themeColor="text1"/>
          <w:kern w:val="0"/>
          <w:sz w:val="32"/>
          <w:szCs w:val="32"/>
          <w:lang w:val="en-US" w:eastAsia="zh-CN"/>
        </w:rPr>
        <w:t>生</w:t>
      </w:r>
      <w:r>
        <w:rPr>
          <w:rFonts w:ascii="方正仿宋_GBK" w:hAnsi="方正仿宋_GBK" w:eastAsia="方正仿宋_GBK" w:cs="方正仿宋_GBK"/>
          <w:bCs/>
          <w:color w:val="000000" w:themeColor="text1"/>
          <w:kern w:val="0"/>
          <w:sz w:val="32"/>
          <w:szCs w:val="32"/>
        </w:rPr>
        <w:t>活污水处理设施处理达到</w:t>
      </w:r>
      <w:r>
        <w:rPr>
          <w:rFonts w:hint="eastAsia" w:ascii="方正仿宋_GBK" w:hAnsi="方正仿宋_GBK" w:eastAsia="方正仿宋_GBK" w:cs="方正仿宋_GBK"/>
          <w:bCs/>
          <w:color w:val="000000" w:themeColor="text1"/>
          <w:kern w:val="0"/>
          <w:sz w:val="32"/>
          <w:szCs w:val="32"/>
        </w:rPr>
        <w:t>《城市污水再生利用 城市杂用水水质标准》</w:t>
      </w:r>
      <w:r>
        <w:rPr>
          <w:rFonts w:ascii="方正仿宋_GBK" w:hAnsi="方正仿宋_GBK" w:eastAsia="方正仿宋_GBK" w:cs="方正仿宋_GBK"/>
          <w:bCs/>
          <w:color w:val="000000" w:themeColor="text1"/>
          <w:kern w:val="0"/>
          <w:sz w:val="32"/>
          <w:szCs w:val="32"/>
        </w:rPr>
        <w:t>（GB/T18920-2002）中绿化标准后用于厂区内绿化</w:t>
      </w:r>
      <w:r>
        <w:rPr>
          <w:rFonts w:hint="eastAsia" w:ascii="方正仿宋_GBK" w:hAnsi="方正仿宋_GBK" w:eastAsia="方正仿宋_GBK" w:cs="方正仿宋_GBK"/>
          <w:bCs/>
          <w:color w:val="000000" w:themeColor="text1"/>
          <w:kern w:val="0"/>
          <w:sz w:val="32"/>
          <w:szCs w:val="32"/>
        </w:rPr>
        <w:t>，不</w:t>
      </w:r>
      <w:r>
        <w:rPr>
          <w:rFonts w:hint="eastAsia" w:ascii="方正仿宋_GBK" w:hAnsi="方正仿宋_GBK" w:eastAsia="方正仿宋_GBK" w:cs="方正仿宋_GBK"/>
          <w:bCs/>
          <w:color w:val="000000" w:themeColor="text1"/>
          <w:kern w:val="0"/>
          <w:sz w:val="32"/>
          <w:szCs w:val="32"/>
          <w:lang w:val="en-US" w:eastAsia="zh-CN"/>
        </w:rPr>
        <w:t>得</w:t>
      </w:r>
      <w:r>
        <w:rPr>
          <w:rFonts w:hint="eastAsia" w:ascii="方正仿宋_GBK" w:hAnsi="方正仿宋_GBK" w:eastAsia="方正仿宋_GBK" w:cs="方正仿宋_GBK"/>
          <w:bCs/>
          <w:color w:val="000000" w:themeColor="text1"/>
          <w:kern w:val="0"/>
          <w:sz w:val="32"/>
          <w:szCs w:val="32"/>
        </w:rPr>
        <w:t>外排</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高炉水渣堆棚需按照《一般工业固体废物贮存、处置场污染控制标准》（GB18599-2001）及2013年修改单中的第Ⅱ类一般工业固体废物的要求建设，设置高炉水渣沥水池，水渣沥水经收集沉淀处理后用于磨内喷水，不</w:t>
      </w:r>
      <w:r>
        <w:rPr>
          <w:rFonts w:hint="eastAsia" w:ascii="方正仿宋_GBK" w:hAnsi="方正仿宋_GBK" w:eastAsia="方正仿宋_GBK" w:cs="方正仿宋_GBK"/>
          <w:bCs/>
          <w:color w:val="000000" w:themeColor="text1"/>
          <w:kern w:val="0"/>
          <w:sz w:val="32"/>
          <w:szCs w:val="32"/>
          <w:lang w:val="en-US" w:eastAsia="zh-CN"/>
        </w:rPr>
        <w:t>得</w:t>
      </w:r>
      <w:r>
        <w:rPr>
          <w:rFonts w:hint="eastAsia" w:ascii="方正仿宋_GBK" w:hAnsi="方正仿宋_GBK" w:eastAsia="方正仿宋_GBK" w:cs="方正仿宋_GBK"/>
          <w:bCs/>
          <w:color w:val="000000" w:themeColor="text1"/>
          <w:kern w:val="0"/>
          <w:sz w:val="32"/>
          <w:szCs w:val="32"/>
        </w:rPr>
        <w:t>外排。</w:t>
      </w:r>
    </w:p>
    <w:p>
      <w:pPr>
        <w:pStyle w:val="6"/>
        <w:spacing w:after="0" w:line="540" w:lineRule="exact"/>
        <w:ind w:firstLine="640" w:firstLineChars="200"/>
        <w:jc w:val="left"/>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（五）严格落实噪声污染防治措施。</w:t>
      </w:r>
      <w:r>
        <w:rPr>
          <w:rFonts w:ascii="方正仿宋_GBK" w:hAnsi="方正仿宋_GBK" w:eastAsia="方正仿宋_GBK" w:cs="方正仿宋_GBK"/>
          <w:bCs/>
          <w:color w:val="000000" w:themeColor="text1"/>
          <w:kern w:val="0"/>
          <w:sz w:val="32"/>
          <w:szCs w:val="32"/>
        </w:rPr>
        <w:t>对立磨机、</w:t>
      </w:r>
      <w:r>
        <w:rPr>
          <w:rFonts w:hint="eastAsia" w:ascii="方正仿宋_GBK" w:hAnsi="方正仿宋_GBK" w:eastAsia="方正仿宋_GBK" w:cs="方正仿宋_GBK"/>
          <w:bCs/>
          <w:color w:val="000000" w:themeColor="text1"/>
          <w:kern w:val="0"/>
          <w:sz w:val="32"/>
          <w:szCs w:val="32"/>
        </w:rPr>
        <w:t>低硫煤</w:t>
      </w:r>
      <w:r>
        <w:rPr>
          <w:rFonts w:ascii="方正仿宋_GBK" w:hAnsi="方正仿宋_GBK" w:eastAsia="方正仿宋_GBK" w:cs="方正仿宋_GBK"/>
          <w:bCs/>
          <w:color w:val="000000" w:themeColor="text1"/>
          <w:kern w:val="0"/>
          <w:sz w:val="32"/>
          <w:szCs w:val="32"/>
        </w:rPr>
        <w:t>破碎机等生产加工设备合理布局，安装减振垫降低设备直接的摩擦、车间隔声</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将立磨机设置安装减振垫，摆放位置设置为隔声间，隔声间墙面夹层内添加吸隔声材料，降低立磨机噪声值同时避免设备噪声外散，隔声间的设计注意设备通风散热</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风机、空压机设置消声器等措施减少噪声对周围环境的影响</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加强厂界四周绿化，种植防噪效果好的高大乔木，降低生产噪声对周边环境的影响</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加强对生产设备的日常养护，保持良好的润滑状态，消除设备异常噪声</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运输车辆经过居民区时应低速行驶，禁止鸣笛。</w:t>
      </w:r>
    </w:p>
    <w:p>
      <w:pPr>
        <w:spacing w:line="54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kern w:val="0"/>
          <w:sz w:val="32"/>
          <w:szCs w:val="32"/>
        </w:rPr>
        <w:t>（六）严格落实固体废物分类处置和综合利用措施。</w:t>
      </w:r>
      <w:r>
        <w:rPr>
          <w:rFonts w:ascii="方正仿宋_GBK" w:hAnsi="方正仿宋_GBK" w:eastAsia="方正仿宋_GBK" w:cs="方正仿宋_GBK"/>
          <w:bCs/>
          <w:color w:val="000000" w:themeColor="text1"/>
          <w:kern w:val="0"/>
          <w:sz w:val="32"/>
          <w:szCs w:val="32"/>
        </w:rPr>
        <w:t>选下铁存放在选下铁暂存间，收集后外卖</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沥水处理池沉渣定期清掏后可用作原料生产</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生活垃圾通过收集后委托工业园区内环卫部门清运处置</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收尘灰全部用作原料或产品</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热风炉炉渣作为原料回用于生产</w:t>
      </w:r>
      <w:r>
        <w:rPr>
          <w:rFonts w:hint="eastAsia" w:ascii="方正仿宋_GBK" w:hAnsi="方正仿宋_GBK" w:eastAsia="方正仿宋_GBK" w:cs="方正仿宋_GBK"/>
          <w:bCs/>
          <w:color w:val="000000" w:themeColor="text1"/>
          <w:kern w:val="0"/>
          <w:sz w:val="32"/>
          <w:szCs w:val="32"/>
          <w:lang w:eastAsia="zh-CN"/>
        </w:rPr>
        <w:t>；</w:t>
      </w:r>
      <w:r>
        <w:rPr>
          <w:rFonts w:ascii="方正仿宋_GBK" w:hAnsi="方正仿宋_GBK" w:eastAsia="方正仿宋_GBK" w:cs="方正仿宋_GBK"/>
          <w:bCs/>
          <w:color w:val="000000" w:themeColor="text1"/>
          <w:kern w:val="0"/>
          <w:sz w:val="32"/>
          <w:szCs w:val="32"/>
        </w:rPr>
        <w:t>废机油采用铁桶收集后在危废暂存间内妥善暂存，委托有处理资质的单位进行妥善处置。按照《危险废物储存污染控制标准》（GB18597-2001）及修改清单要求建设危险废物暂存间，并采取相应的防护措施，设置安全照明设施，设置危废暂存间标志，严格按照相关规定进行使用、存储、管理</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rPr>
        <w:t>化粪池</w:t>
      </w:r>
      <w:r>
        <w:rPr>
          <w:rFonts w:hint="eastAsia" w:ascii="方正仿宋_GBK" w:hAnsi="方正仿宋_GBK" w:eastAsia="方正仿宋_GBK" w:cs="方正仿宋_GBK"/>
          <w:bCs/>
          <w:color w:val="000000" w:themeColor="text1"/>
          <w:kern w:val="0"/>
          <w:sz w:val="32"/>
          <w:szCs w:val="32"/>
          <w:lang w:eastAsia="zh-CN"/>
        </w:rPr>
        <w:t>、</w:t>
      </w:r>
      <w:r>
        <w:rPr>
          <w:rFonts w:hint="eastAsia" w:ascii="方正仿宋_GBK" w:hAnsi="方正仿宋_GBK" w:eastAsia="方正仿宋_GBK" w:cs="方正仿宋_GBK"/>
          <w:bCs/>
          <w:color w:val="000000" w:themeColor="text1"/>
          <w:kern w:val="0"/>
          <w:sz w:val="32"/>
          <w:szCs w:val="32"/>
          <w:lang w:val="en-US" w:eastAsia="zh-CN"/>
        </w:rPr>
        <w:t>一体化生活污水处理设施污泥</w:t>
      </w:r>
      <w:r>
        <w:rPr>
          <w:rFonts w:hint="eastAsia" w:ascii="方正仿宋_GBK" w:hAnsi="方正仿宋_GBK" w:eastAsia="方正仿宋_GBK" w:cs="方正仿宋_GBK"/>
          <w:bCs/>
          <w:color w:val="000000" w:themeColor="text1"/>
          <w:kern w:val="0"/>
          <w:sz w:val="32"/>
          <w:szCs w:val="32"/>
        </w:rPr>
        <w:t>定期委托环卫部门清掏</w:t>
      </w:r>
      <w:r>
        <w:rPr>
          <w:rFonts w:hint="eastAsia" w:ascii="方正仿宋_GBK" w:hAnsi="方正仿宋_GBK" w:eastAsia="方正仿宋_GBK" w:cs="方正仿宋_GBK"/>
          <w:bCs/>
          <w:color w:val="000000" w:themeColor="text1"/>
          <w:kern w:val="0"/>
          <w:sz w:val="32"/>
          <w:szCs w:val="32"/>
          <w:lang w:val="en-US" w:eastAsia="zh-CN"/>
        </w:rPr>
        <w:t>处置</w:t>
      </w:r>
      <w:r>
        <w:rPr>
          <w:rFonts w:ascii="方正仿宋_GBK" w:hAnsi="方正仿宋_GBK" w:eastAsia="方正仿宋_GBK" w:cs="方正仿宋_GBK"/>
          <w:bCs/>
          <w:color w:val="000000" w:themeColor="text1"/>
          <w:kern w:val="0"/>
          <w:sz w:val="32"/>
          <w:szCs w:val="32"/>
        </w:rPr>
        <w:t>。</w:t>
      </w:r>
    </w:p>
    <w:p>
      <w:pPr>
        <w:adjustRightInd w:val="0"/>
        <w:snapToGrid w:val="0"/>
        <w:spacing w:line="540" w:lineRule="exact"/>
        <w:ind w:firstLine="640" w:firstLineChars="200"/>
        <w:rPr>
          <w:rFonts w:ascii="方正仿宋_GBK" w:hAnsi="方正仿宋_GBK" w:eastAsia="方正仿宋_GBK" w:cs="方正仿宋_GBK"/>
          <w:bCs/>
          <w:color w:val="000000" w:themeColor="text1"/>
          <w:kern w:val="0"/>
          <w:sz w:val="32"/>
          <w:szCs w:val="32"/>
        </w:rPr>
      </w:pPr>
      <w:r>
        <w:rPr>
          <w:rFonts w:hint="eastAsia" w:ascii="方正仿宋_GBK" w:hAnsi="方正仿宋_GBK" w:eastAsia="方正仿宋_GBK" w:cs="方正仿宋_GBK"/>
          <w:bCs/>
          <w:color w:val="000000" w:themeColor="text1"/>
          <w:kern w:val="0"/>
          <w:sz w:val="32"/>
          <w:szCs w:val="32"/>
        </w:rPr>
        <w:t>（七）严格落实《报告表》提出的各项环境风险防治措施，严防突发环境事故发生，并制定突发环境事件（事故）应急预案报市生态环境局新平分局备案。</w:t>
      </w:r>
    </w:p>
    <w:p>
      <w:pPr>
        <w:adjustRightInd w:val="0"/>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w:t>
      </w:r>
      <w:r>
        <w:rPr>
          <w:rFonts w:hint="eastAsia" w:ascii="方正仿宋_GBK" w:hAnsi="方正仿宋_GBK" w:eastAsia="方正仿宋_GBK" w:cs="方正仿宋_GBK"/>
          <w:bCs/>
          <w:kern w:val="0"/>
          <w:sz w:val="32"/>
          <w:szCs w:val="32"/>
          <w:lang w:val="en-US" w:eastAsia="zh-CN"/>
        </w:rPr>
        <w:t>公司</w:t>
      </w:r>
      <w:r>
        <w:rPr>
          <w:rFonts w:hint="eastAsia" w:ascii="方正仿宋_GBK" w:hAnsi="方正仿宋_GBK" w:eastAsia="方正仿宋_GBK" w:cs="方正仿宋_GBK"/>
          <w:bCs/>
          <w:kern w:val="0"/>
          <w:sz w:val="32"/>
          <w:szCs w:val="32"/>
        </w:rPr>
        <w:t>作为项目的责任单位，必须严格执行工程建设的环境保护“三同时”制度，认真落实各项环保要求，主动向社会公开建设项目环境影响评价文件、污染防治设施建设运行情况、污染物排放情况</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环境风险应急预案</w:t>
      </w:r>
      <w:r>
        <w:rPr>
          <w:rFonts w:hint="eastAsia" w:ascii="方正仿宋_GBK" w:hAnsi="方正仿宋_GBK" w:eastAsia="方正仿宋_GBK" w:cs="方正仿宋_GBK"/>
          <w:bCs/>
          <w:kern w:val="0"/>
          <w:sz w:val="32"/>
          <w:szCs w:val="32"/>
        </w:rPr>
        <w:t>等环境信息。</w:t>
      </w:r>
    </w:p>
    <w:p>
      <w:pPr>
        <w:snapToGrid w:val="0"/>
        <w:spacing w:line="54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六、</w:t>
      </w:r>
      <w:r>
        <w:rPr>
          <w:rFonts w:hint="eastAsia" w:ascii="方正仿宋_GBK" w:hAnsi="方正仿宋_GBK" w:eastAsia="方正仿宋_GBK" w:cs="方正仿宋_GBK"/>
          <w:bCs/>
          <w:kern w:val="0"/>
          <w:sz w:val="32"/>
          <w:szCs w:val="32"/>
          <w:lang w:val="en-US" w:eastAsia="zh-CN"/>
        </w:rPr>
        <w:t>项目投产试运行后，及时按《建设项目环境保护管理条例》《建设项目竣工环境保护验收暂行办法》的规定</w:t>
      </w:r>
      <w:r>
        <w:rPr>
          <w:rFonts w:hint="default" w:ascii="方正仿宋_GBK" w:hAnsi="方正仿宋_GBK" w:eastAsia="方正仿宋_GBK" w:cs="方正仿宋_GBK"/>
          <w:bCs/>
          <w:kern w:val="0"/>
          <w:sz w:val="32"/>
          <w:szCs w:val="32"/>
          <w:lang w:val="en-US" w:eastAsia="zh-CN"/>
        </w:rPr>
        <w:t>自行组织开展竣工环保验收</w:t>
      </w:r>
      <w:r>
        <w:rPr>
          <w:rFonts w:hint="eastAsia" w:ascii="方正仿宋_GBK" w:hAnsi="方正仿宋_GBK" w:eastAsia="方正仿宋_GBK" w:cs="方正仿宋_GBK"/>
          <w:bCs/>
          <w:kern w:val="0"/>
          <w:sz w:val="32"/>
          <w:szCs w:val="32"/>
          <w:lang w:val="en-US" w:eastAsia="zh-CN"/>
        </w:rPr>
        <w:t>，并依法向社会公开验收报告。</w:t>
      </w:r>
      <w:r>
        <w:rPr>
          <w:rFonts w:hint="default" w:ascii="方正仿宋_GBK" w:hAnsi="方正仿宋_GBK" w:eastAsia="方正仿宋_GBK" w:cs="方正仿宋_GBK"/>
          <w:bCs/>
          <w:kern w:val="0"/>
          <w:sz w:val="32"/>
          <w:szCs w:val="32"/>
          <w:lang w:val="en-US" w:eastAsia="zh-CN"/>
        </w:rPr>
        <w:t>经验收合格后方可正式投入</w:t>
      </w:r>
      <w:r>
        <w:rPr>
          <w:rFonts w:hint="eastAsia" w:ascii="方正仿宋_GBK" w:hAnsi="方正仿宋_GBK" w:eastAsia="方正仿宋_GBK" w:cs="方正仿宋_GBK"/>
          <w:bCs/>
          <w:kern w:val="0"/>
          <w:sz w:val="32"/>
          <w:szCs w:val="32"/>
          <w:lang w:val="en-US" w:eastAsia="zh-CN"/>
        </w:rPr>
        <w:t>运行。</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4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40" w:lineRule="exact"/>
        <w:ind w:firstLine="4160" w:firstLineChars="1300"/>
        <w:rPr>
          <w:rFonts w:hint="eastAsia" w:ascii="方正仿宋_GBK" w:hAnsi="方正仿宋_GBK" w:eastAsia="方正仿宋_GBK" w:cs="方正仿宋_GBK"/>
          <w:sz w:val="32"/>
          <w:szCs w:val="32"/>
        </w:rPr>
      </w:pPr>
    </w:p>
    <w:p>
      <w:pPr>
        <w:snapToGrid w:val="0"/>
        <w:spacing w:line="54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p>
    <w:p>
      <w:pPr>
        <w:pStyle w:val="10"/>
        <w:rPr>
          <w:sz w:val="32"/>
          <w:szCs w:val="32"/>
        </w:rPr>
      </w:pPr>
    </w:p>
    <w:p>
      <w:pPr>
        <w:spacing w:line="560" w:lineRule="exact"/>
        <w:rPr>
          <w:rFonts w:hint="eastAsia" w:ascii="仿宋_GB2312" w:eastAsia="仿宋_GB2312"/>
          <w:sz w:val="32"/>
          <w:szCs w:val="32"/>
        </w:rPr>
      </w:pPr>
    </w:p>
    <w:p>
      <w:pPr>
        <w:spacing w:line="440" w:lineRule="exact"/>
        <w:ind w:firstLine="140" w:firstLineChars="50"/>
        <w:rPr>
          <w:rFonts w:hint="eastAsia" w:ascii="方正仿宋_GBK" w:hAnsi="方正仿宋_GBK" w:eastAsia="方正仿宋_GBK" w:cs="方正仿宋_GBK"/>
          <w:color w:val="000000"/>
          <w:sz w:val="28"/>
          <w:szCs w:val="28"/>
          <w:lang w:eastAsia="zh-CN"/>
        </w:rPr>
      </w:pPr>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03E"/>
    <w:rsid w:val="00057B2F"/>
    <w:rsid w:val="00063AA4"/>
    <w:rsid w:val="00063B0F"/>
    <w:rsid w:val="00066E87"/>
    <w:rsid w:val="00075739"/>
    <w:rsid w:val="00076555"/>
    <w:rsid w:val="00081CE2"/>
    <w:rsid w:val="00081D74"/>
    <w:rsid w:val="000825FA"/>
    <w:rsid w:val="00083D93"/>
    <w:rsid w:val="000851AA"/>
    <w:rsid w:val="0009095C"/>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01A7"/>
    <w:rsid w:val="0013181D"/>
    <w:rsid w:val="0013302B"/>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1D0F"/>
    <w:rsid w:val="001E2913"/>
    <w:rsid w:val="001E396B"/>
    <w:rsid w:val="001E66B8"/>
    <w:rsid w:val="001E7E85"/>
    <w:rsid w:val="001F08BF"/>
    <w:rsid w:val="001F2BA2"/>
    <w:rsid w:val="002046CA"/>
    <w:rsid w:val="002047C9"/>
    <w:rsid w:val="00210087"/>
    <w:rsid w:val="002136EE"/>
    <w:rsid w:val="0021443D"/>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4B71"/>
    <w:rsid w:val="00276D3A"/>
    <w:rsid w:val="00277F5E"/>
    <w:rsid w:val="00281E31"/>
    <w:rsid w:val="002836B3"/>
    <w:rsid w:val="00286A39"/>
    <w:rsid w:val="00292A0F"/>
    <w:rsid w:val="00293CE5"/>
    <w:rsid w:val="00295166"/>
    <w:rsid w:val="0029536E"/>
    <w:rsid w:val="002955B6"/>
    <w:rsid w:val="00295C98"/>
    <w:rsid w:val="00297087"/>
    <w:rsid w:val="00297AD6"/>
    <w:rsid w:val="002A020F"/>
    <w:rsid w:val="002A4702"/>
    <w:rsid w:val="002A478D"/>
    <w:rsid w:val="002A5176"/>
    <w:rsid w:val="002A6D71"/>
    <w:rsid w:val="002B144E"/>
    <w:rsid w:val="002B1C2F"/>
    <w:rsid w:val="002B2F76"/>
    <w:rsid w:val="002B5F86"/>
    <w:rsid w:val="002B66DA"/>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333DC"/>
    <w:rsid w:val="00335B19"/>
    <w:rsid w:val="003369C4"/>
    <w:rsid w:val="00336E68"/>
    <w:rsid w:val="00344188"/>
    <w:rsid w:val="00344BF8"/>
    <w:rsid w:val="0034681A"/>
    <w:rsid w:val="003513E7"/>
    <w:rsid w:val="003535AE"/>
    <w:rsid w:val="00354BAE"/>
    <w:rsid w:val="003558BE"/>
    <w:rsid w:val="00355E98"/>
    <w:rsid w:val="003574B1"/>
    <w:rsid w:val="003627C1"/>
    <w:rsid w:val="00362FCB"/>
    <w:rsid w:val="00364399"/>
    <w:rsid w:val="0037246C"/>
    <w:rsid w:val="003745BD"/>
    <w:rsid w:val="00376A83"/>
    <w:rsid w:val="00380BB9"/>
    <w:rsid w:val="00380DDE"/>
    <w:rsid w:val="00380F43"/>
    <w:rsid w:val="00381C17"/>
    <w:rsid w:val="00384BF7"/>
    <w:rsid w:val="00386513"/>
    <w:rsid w:val="00391AB2"/>
    <w:rsid w:val="00394504"/>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6A10"/>
    <w:rsid w:val="003E740F"/>
    <w:rsid w:val="003F18A3"/>
    <w:rsid w:val="003F27E0"/>
    <w:rsid w:val="003F3CD1"/>
    <w:rsid w:val="003F78A0"/>
    <w:rsid w:val="00401124"/>
    <w:rsid w:val="0040171D"/>
    <w:rsid w:val="004034D3"/>
    <w:rsid w:val="004049C4"/>
    <w:rsid w:val="004068F5"/>
    <w:rsid w:val="0040760A"/>
    <w:rsid w:val="00410383"/>
    <w:rsid w:val="00415936"/>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6FA5"/>
    <w:rsid w:val="00447C35"/>
    <w:rsid w:val="00451245"/>
    <w:rsid w:val="004569F0"/>
    <w:rsid w:val="0045737D"/>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86669"/>
    <w:rsid w:val="004920AA"/>
    <w:rsid w:val="004922D8"/>
    <w:rsid w:val="00496634"/>
    <w:rsid w:val="004A24CB"/>
    <w:rsid w:val="004A4876"/>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563A"/>
    <w:rsid w:val="00537E0E"/>
    <w:rsid w:val="00545891"/>
    <w:rsid w:val="005470D0"/>
    <w:rsid w:val="00554E39"/>
    <w:rsid w:val="00556968"/>
    <w:rsid w:val="00557013"/>
    <w:rsid w:val="00566502"/>
    <w:rsid w:val="00570186"/>
    <w:rsid w:val="00570C48"/>
    <w:rsid w:val="00571BB4"/>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0F33"/>
    <w:rsid w:val="005F43E2"/>
    <w:rsid w:val="005F4931"/>
    <w:rsid w:val="0060701A"/>
    <w:rsid w:val="00607C53"/>
    <w:rsid w:val="00610583"/>
    <w:rsid w:val="006146D0"/>
    <w:rsid w:val="00615435"/>
    <w:rsid w:val="00615D2E"/>
    <w:rsid w:val="006211D0"/>
    <w:rsid w:val="00627F16"/>
    <w:rsid w:val="00631E71"/>
    <w:rsid w:val="006322BA"/>
    <w:rsid w:val="00640A5A"/>
    <w:rsid w:val="0064113A"/>
    <w:rsid w:val="00641578"/>
    <w:rsid w:val="0064350B"/>
    <w:rsid w:val="006451F9"/>
    <w:rsid w:val="00647C22"/>
    <w:rsid w:val="00647C23"/>
    <w:rsid w:val="00647DAB"/>
    <w:rsid w:val="00650C33"/>
    <w:rsid w:val="00655803"/>
    <w:rsid w:val="00657126"/>
    <w:rsid w:val="00662955"/>
    <w:rsid w:val="006641A0"/>
    <w:rsid w:val="00664538"/>
    <w:rsid w:val="00664B5D"/>
    <w:rsid w:val="006728F9"/>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E93"/>
    <w:rsid w:val="006D10E2"/>
    <w:rsid w:val="006D4A1B"/>
    <w:rsid w:val="006D63EA"/>
    <w:rsid w:val="006D6C65"/>
    <w:rsid w:val="006D77C8"/>
    <w:rsid w:val="006E07C7"/>
    <w:rsid w:val="006E2048"/>
    <w:rsid w:val="006E6B5C"/>
    <w:rsid w:val="006E7A8A"/>
    <w:rsid w:val="006F072E"/>
    <w:rsid w:val="007010C9"/>
    <w:rsid w:val="00702E99"/>
    <w:rsid w:val="0070324A"/>
    <w:rsid w:val="007032FA"/>
    <w:rsid w:val="007053FD"/>
    <w:rsid w:val="0070584A"/>
    <w:rsid w:val="007061E4"/>
    <w:rsid w:val="00721A2C"/>
    <w:rsid w:val="00724FBA"/>
    <w:rsid w:val="00726D86"/>
    <w:rsid w:val="00731FE4"/>
    <w:rsid w:val="00732580"/>
    <w:rsid w:val="00733C59"/>
    <w:rsid w:val="0074272B"/>
    <w:rsid w:val="007468EC"/>
    <w:rsid w:val="00747146"/>
    <w:rsid w:val="00747780"/>
    <w:rsid w:val="00747F5C"/>
    <w:rsid w:val="0075288E"/>
    <w:rsid w:val="00753012"/>
    <w:rsid w:val="00755493"/>
    <w:rsid w:val="00756793"/>
    <w:rsid w:val="00756DCA"/>
    <w:rsid w:val="00761345"/>
    <w:rsid w:val="0076154F"/>
    <w:rsid w:val="00762AA7"/>
    <w:rsid w:val="007641BC"/>
    <w:rsid w:val="00770671"/>
    <w:rsid w:val="007708CD"/>
    <w:rsid w:val="00773AB6"/>
    <w:rsid w:val="0078355B"/>
    <w:rsid w:val="00785B47"/>
    <w:rsid w:val="00787028"/>
    <w:rsid w:val="00787412"/>
    <w:rsid w:val="00787A88"/>
    <w:rsid w:val="00787EA3"/>
    <w:rsid w:val="00792525"/>
    <w:rsid w:val="00792661"/>
    <w:rsid w:val="00792725"/>
    <w:rsid w:val="007927C7"/>
    <w:rsid w:val="00794575"/>
    <w:rsid w:val="007A0879"/>
    <w:rsid w:val="007A2E51"/>
    <w:rsid w:val="007A78A1"/>
    <w:rsid w:val="007A7D4A"/>
    <w:rsid w:val="007B1F4B"/>
    <w:rsid w:val="007B2D71"/>
    <w:rsid w:val="007B50D1"/>
    <w:rsid w:val="007B559E"/>
    <w:rsid w:val="007B72BB"/>
    <w:rsid w:val="007B78D2"/>
    <w:rsid w:val="007C62C8"/>
    <w:rsid w:val="007C7D6E"/>
    <w:rsid w:val="007D02E4"/>
    <w:rsid w:val="007D1E46"/>
    <w:rsid w:val="007D2729"/>
    <w:rsid w:val="007D338E"/>
    <w:rsid w:val="007E1271"/>
    <w:rsid w:val="007E3C0A"/>
    <w:rsid w:val="007E59FB"/>
    <w:rsid w:val="007E6137"/>
    <w:rsid w:val="007F5A78"/>
    <w:rsid w:val="007F67D6"/>
    <w:rsid w:val="007F685F"/>
    <w:rsid w:val="007F7BDE"/>
    <w:rsid w:val="0080025B"/>
    <w:rsid w:val="008060CB"/>
    <w:rsid w:val="0080791B"/>
    <w:rsid w:val="0081065B"/>
    <w:rsid w:val="008117ED"/>
    <w:rsid w:val="00812A09"/>
    <w:rsid w:val="00814423"/>
    <w:rsid w:val="0081575D"/>
    <w:rsid w:val="00815774"/>
    <w:rsid w:val="0081730A"/>
    <w:rsid w:val="00820D85"/>
    <w:rsid w:val="008272D0"/>
    <w:rsid w:val="00831ADB"/>
    <w:rsid w:val="00834C20"/>
    <w:rsid w:val="00836DC7"/>
    <w:rsid w:val="00847194"/>
    <w:rsid w:val="00850D4B"/>
    <w:rsid w:val="00851276"/>
    <w:rsid w:val="0085317A"/>
    <w:rsid w:val="008547E1"/>
    <w:rsid w:val="00856B13"/>
    <w:rsid w:val="00857B23"/>
    <w:rsid w:val="008621F6"/>
    <w:rsid w:val="00862FE6"/>
    <w:rsid w:val="008637D0"/>
    <w:rsid w:val="008646CB"/>
    <w:rsid w:val="008652BB"/>
    <w:rsid w:val="00865BB0"/>
    <w:rsid w:val="008706B6"/>
    <w:rsid w:val="00872498"/>
    <w:rsid w:val="00872E42"/>
    <w:rsid w:val="008733AB"/>
    <w:rsid w:val="0087447E"/>
    <w:rsid w:val="00874AC7"/>
    <w:rsid w:val="00875EE5"/>
    <w:rsid w:val="00876491"/>
    <w:rsid w:val="00876993"/>
    <w:rsid w:val="00890955"/>
    <w:rsid w:val="00892FDB"/>
    <w:rsid w:val="00897FC3"/>
    <w:rsid w:val="008A1C6F"/>
    <w:rsid w:val="008A2E0F"/>
    <w:rsid w:val="008B482C"/>
    <w:rsid w:val="008B4ED4"/>
    <w:rsid w:val="008B551D"/>
    <w:rsid w:val="008B6066"/>
    <w:rsid w:val="008C40FA"/>
    <w:rsid w:val="008C4214"/>
    <w:rsid w:val="008C6A50"/>
    <w:rsid w:val="008D4443"/>
    <w:rsid w:val="008E0C5B"/>
    <w:rsid w:val="008E66BF"/>
    <w:rsid w:val="008F2C0C"/>
    <w:rsid w:val="008F303D"/>
    <w:rsid w:val="008F7279"/>
    <w:rsid w:val="008F75DF"/>
    <w:rsid w:val="008F7F91"/>
    <w:rsid w:val="00903E4C"/>
    <w:rsid w:val="0090635D"/>
    <w:rsid w:val="009074E9"/>
    <w:rsid w:val="009109D8"/>
    <w:rsid w:val="0091283F"/>
    <w:rsid w:val="009143D3"/>
    <w:rsid w:val="009175FC"/>
    <w:rsid w:val="00917653"/>
    <w:rsid w:val="00917BBA"/>
    <w:rsid w:val="00921B1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4447"/>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C2F6C"/>
    <w:rsid w:val="009D0D32"/>
    <w:rsid w:val="009D15C4"/>
    <w:rsid w:val="009D1868"/>
    <w:rsid w:val="009D1D75"/>
    <w:rsid w:val="009D3A5A"/>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6819"/>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169"/>
    <w:rsid w:val="00A77B70"/>
    <w:rsid w:val="00A81950"/>
    <w:rsid w:val="00A84537"/>
    <w:rsid w:val="00A85B6A"/>
    <w:rsid w:val="00A9313B"/>
    <w:rsid w:val="00AA0BE3"/>
    <w:rsid w:val="00AA0CDF"/>
    <w:rsid w:val="00AA130A"/>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36AC"/>
    <w:rsid w:val="00AC5AA3"/>
    <w:rsid w:val="00AC715A"/>
    <w:rsid w:val="00AD00FD"/>
    <w:rsid w:val="00AD1B00"/>
    <w:rsid w:val="00AD1D35"/>
    <w:rsid w:val="00AD1FD3"/>
    <w:rsid w:val="00AD2B57"/>
    <w:rsid w:val="00AD3055"/>
    <w:rsid w:val="00AD77FC"/>
    <w:rsid w:val="00AE0125"/>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77241"/>
    <w:rsid w:val="00B80563"/>
    <w:rsid w:val="00B80D99"/>
    <w:rsid w:val="00B82EED"/>
    <w:rsid w:val="00B8378E"/>
    <w:rsid w:val="00B8631F"/>
    <w:rsid w:val="00B86435"/>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40D"/>
    <w:rsid w:val="00BF49D7"/>
    <w:rsid w:val="00C023F6"/>
    <w:rsid w:val="00C02F9E"/>
    <w:rsid w:val="00C05B26"/>
    <w:rsid w:val="00C05DA2"/>
    <w:rsid w:val="00C10C0E"/>
    <w:rsid w:val="00C10D70"/>
    <w:rsid w:val="00C10DD7"/>
    <w:rsid w:val="00C13A17"/>
    <w:rsid w:val="00C13FE0"/>
    <w:rsid w:val="00C150B8"/>
    <w:rsid w:val="00C161C0"/>
    <w:rsid w:val="00C1704A"/>
    <w:rsid w:val="00C17B61"/>
    <w:rsid w:val="00C21854"/>
    <w:rsid w:val="00C21863"/>
    <w:rsid w:val="00C22371"/>
    <w:rsid w:val="00C245F5"/>
    <w:rsid w:val="00C25F4D"/>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1D50"/>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71F1"/>
    <w:rsid w:val="00D20720"/>
    <w:rsid w:val="00D21B59"/>
    <w:rsid w:val="00D2584A"/>
    <w:rsid w:val="00D302F3"/>
    <w:rsid w:val="00D31FD6"/>
    <w:rsid w:val="00D3389A"/>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2E87"/>
    <w:rsid w:val="00D83510"/>
    <w:rsid w:val="00D91EAE"/>
    <w:rsid w:val="00D96D86"/>
    <w:rsid w:val="00D97C71"/>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46A45"/>
    <w:rsid w:val="00E526E0"/>
    <w:rsid w:val="00E5302C"/>
    <w:rsid w:val="00E53D3B"/>
    <w:rsid w:val="00E56B1C"/>
    <w:rsid w:val="00E5771B"/>
    <w:rsid w:val="00E6204E"/>
    <w:rsid w:val="00E65692"/>
    <w:rsid w:val="00E65937"/>
    <w:rsid w:val="00E670EF"/>
    <w:rsid w:val="00E67B28"/>
    <w:rsid w:val="00E67F53"/>
    <w:rsid w:val="00E701C0"/>
    <w:rsid w:val="00E71504"/>
    <w:rsid w:val="00E73288"/>
    <w:rsid w:val="00E7507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B0DBD"/>
    <w:rsid w:val="00EB24B3"/>
    <w:rsid w:val="00EB2C63"/>
    <w:rsid w:val="00EC1AE4"/>
    <w:rsid w:val="00EC343E"/>
    <w:rsid w:val="00EC44DC"/>
    <w:rsid w:val="00EC48FB"/>
    <w:rsid w:val="00EC654D"/>
    <w:rsid w:val="00EC6A22"/>
    <w:rsid w:val="00EC7878"/>
    <w:rsid w:val="00ED0F2C"/>
    <w:rsid w:val="00ED1551"/>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502D"/>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7677F"/>
    <w:rsid w:val="00F83AA1"/>
    <w:rsid w:val="00F85DEC"/>
    <w:rsid w:val="00F877A0"/>
    <w:rsid w:val="00FB0B9F"/>
    <w:rsid w:val="00FB124B"/>
    <w:rsid w:val="00FB2B9D"/>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1262931"/>
    <w:rsid w:val="01AC162A"/>
    <w:rsid w:val="01E153D3"/>
    <w:rsid w:val="03FE4E01"/>
    <w:rsid w:val="08094894"/>
    <w:rsid w:val="0ABE46E6"/>
    <w:rsid w:val="0F5D683F"/>
    <w:rsid w:val="15363789"/>
    <w:rsid w:val="1C5E4196"/>
    <w:rsid w:val="1EAA1814"/>
    <w:rsid w:val="20E44A3D"/>
    <w:rsid w:val="20EA1A3A"/>
    <w:rsid w:val="235B11B7"/>
    <w:rsid w:val="252E7AB0"/>
    <w:rsid w:val="25C63A99"/>
    <w:rsid w:val="25E44444"/>
    <w:rsid w:val="284523C1"/>
    <w:rsid w:val="29C81F5F"/>
    <w:rsid w:val="2AD26CCF"/>
    <w:rsid w:val="2B77480B"/>
    <w:rsid w:val="2DDE1A37"/>
    <w:rsid w:val="31D313B5"/>
    <w:rsid w:val="32972F21"/>
    <w:rsid w:val="335F7DCE"/>
    <w:rsid w:val="34757BA6"/>
    <w:rsid w:val="35423545"/>
    <w:rsid w:val="388B3362"/>
    <w:rsid w:val="3A2B21E3"/>
    <w:rsid w:val="3B010812"/>
    <w:rsid w:val="3ECC47D4"/>
    <w:rsid w:val="427953D1"/>
    <w:rsid w:val="47B814BA"/>
    <w:rsid w:val="4CE76C4F"/>
    <w:rsid w:val="4D5E2133"/>
    <w:rsid w:val="4FE35B58"/>
    <w:rsid w:val="529A2404"/>
    <w:rsid w:val="52B246D2"/>
    <w:rsid w:val="559C3E9D"/>
    <w:rsid w:val="562D0D67"/>
    <w:rsid w:val="64046B45"/>
    <w:rsid w:val="665E5BA5"/>
    <w:rsid w:val="669E0512"/>
    <w:rsid w:val="683625A6"/>
    <w:rsid w:val="6CE82B24"/>
    <w:rsid w:val="70916B60"/>
    <w:rsid w:val="76F97D89"/>
    <w:rsid w:val="7B8032EB"/>
    <w:rsid w:val="7E010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Normal Indent"/>
    <w:basedOn w:val="1"/>
    <w:link w:val="20"/>
    <w:qFormat/>
    <w:uiPriority w:val="0"/>
    <w:rPr>
      <w:sz w:val="28"/>
      <w:szCs w:val="20"/>
    </w:rPr>
  </w:style>
  <w:style w:type="paragraph" w:styleId="5">
    <w:name w:val="annotation text"/>
    <w:basedOn w:val="1"/>
    <w:link w:val="22"/>
    <w:qFormat/>
    <w:uiPriority w:val="0"/>
    <w:pPr>
      <w:jc w:val="left"/>
    </w:pPr>
    <w:rPr>
      <w:szCs w:val="20"/>
    </w:rPr>
  </w:style>
  <w:style w:type="paragraph" w:styleId="6">
    <w:name w:val="Body Text"/>
    <w:basedOn w:val="1"/>
    <w:link w:val="25"/>
    <w:qFormat/>
    <w:uiPriority w:val="0"/>
    <w:pPr>
      <w:spacing w:after="120"/>
    </w:pPr>
    <w:rPr>
      <w:szCs w:val="20"/>
    </w:rPr>
  </w:style>
  <w:style w:type="paragraph" w:styleId="7">
    <w:name w:val="Body Text Indent"/>
    <w:basedOn w:val="1"/>
    <w:qFormat/>
    <w:uiPriority w:val="0"/>
    <w:pPr>
      <w:spacing w:line="0" w:lineRule="atLeast"/>
      <w:ind w:firstLine="527" w:firstLineChars="200"/>
    </w:pPr>
    <w:rPr>
      <w:rFonts w:ascii="仿宋_GB2312" w:eastAsia="仿宋_GB2312"/>
      <w:sz w:val="28"/>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0"/>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page number"/>
    <w:basedOn w:val="14"/>
    <w:qFormat/>
    <w:uiPriority w:val="0"/>
  </w:style>
  <w:style w:type="character" w:styleId="16">
    <w:name w:val="annotation reference"/>
    <w:qFormat/>
    <w:uiPriority w:val="0"/>
    <w:rPr>
      <w:sz w:val="21"/>
      <w:szCs w:val="21"/>
    </w:rPr>
  </w:style>
  <w:style w:type="character" w:customStyle="1" w:styleId="17">
    <w:name w:val="标题 1 Char"/>
    <w:link w:val="3"/>
    <w:qFormat/>
    <w:uiPriority w:val="9"/>
    <w:rPr>
      <w:rFonts w:ascii="宋体" w:hAnsi="宋体" w:cs="宋体"/>
      <w:b/>
      <w:bCs/>
      <w:kern w:val="36"/>
      <w:sz w:val="48"/>
      <w:szCs w:val="48"/>
    </w:rPr>
  </w:style>
  <w:style w:type="paragraph" w:customStyle="1" w:styleId="18">
    <w:name w:val="Char Char Char Char Char Char1 Char"/>
    <w:basedOn w:val="1"/>
    <w:qFormat/>
    <w:uiPriority w:val="0"/>
    <w:pPr>
      <w:widowControl/>
      <w:spacing w:after="160" w:line="240" w:lineRule="exact"/>
      <w:jc w:val="left"/>
    </w:pPr>
  </w:style>
  <w:style w:type="character" w:customStyle="1" w:styleId="19">
    <w:name w:val="批注文字 Char"/>
    <w:link w:val="5"/>
    <w:qFormat/>
    <w:uiPriority w:val="0"/>
    <w:rPr>
      <w:kern w:val="2"/>
      <w:sz w:val="21"/>
    </w:rPr>
  </w:style>
  <w:style w:type="character" w:customStyle="1" w:styleId="20">
    <w:name w:val="正文缩进 Char"/>
    <w:link w:val="4"/>
    <w:qFormat/>
    <w:uiPriority w:val="0"/>
    <w:rPr>
      <w:kern w:val="2"/>
      <w:sz w:val="28"/>
    </w:rPr>
  </w:style>
  <w:style w:type="character" w:customStyle="1" w:styleId="21">
    <w:name w:val="页眉 Char"/>
    <w:link w:val="11"/>
    <w:qFormat/>
    <w:uiPriority w:val="0"/>
    <w:rPr>
      <w:kern w:val="2"/>
      <w:sz w:val="18"/>
      <w:szCs w:val="18"/>
    </w:rPr>
  </w:style>
  <w:style w:type="character" w:customStyle="1" w:styleId="22">
    <w:name w:val="批注文字 Char1"/>
    <w:basedOn w:val="14"/>
    <w:link w:val="5"/>
    <w:qFormat/>
    <w:uiPriority w:val="0"/>
    <w:rPr>
      <w:kern w:val="2"/>
      <w:sz w:val="21"/>
      <w:szCs w:val="24"/>
    </w:rPr>
  </w:style>
  <w:style w:type="paragraph" w:styleId="23">
    <w:name w:val="List Paragraph"/>
    <w:basedOn w:val="1"/>
    <w:unhideWhenUsed/>
    <w:qFormat/>
    <w:uiPriority w:val="99"/>
    <w:pPr>
      <w:ind w:firstLine="420" w:firstLineChars="200"/>
    </w:pPr>
  </w:style>
  <w:style w:type="character" w:customStyle="1" w:styleId="24">
    <w:name w:val="正文文本 Char"/>
    <w:link w:val="6"/>
    <w:qFormat/>
    <w:uiPriority w:val="0"/>
    <w:rPr>
      <w:kern w:val="2"/>
      <w:sz w:val="21"/>
    </w:rPr>
  </w:style>
  <w:style w:type="character" w:customStyle="1" w:styleId="25">
    <w:name w:val="正文文本 Char1"/>
    <w:basedOn w:val="14"/>
    <w:link w:val="6"/>
    <w:qFormat/>
    <w:uiPriority w:val="0"/>
    <w:rPr>
      <w:kern w:val="2"/>
      <w:sz w:val="21"/>
      <w:szCs w:val="24"/>
    </w:rPr>
  </w:style>
  <w:style w:type="paragraph" w:customStyle="1" w:styleId="26">
    <w:name w:val="Normal Indent1"/>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5</Pages>
  <Words>426</Words>
  <Characters>2429</Characters>
  <Lines>20</Lines>
  <Paragraphs>5</Paragraphs>
  <TotalTime>14</TotalTime>
  <ScaleCrop>false</ScaleCrop>
  <LinksUpToDate>false</LinksUpToDate>
  <CharactersWithSpaces>2850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2021-07-05T02:23:00Z</dcterms:modified>
  <dc:title>审批意见：</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