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玉环新局审〔2021〕</w:t>
      </w:r>
      <w:r>
        <w:rPr>
          <w:rFonts w:hint="eastAsia" w:ascii="方正仿宋_GBK" w:hAnsi="方正仿宋_GBK" w:eastAsia="方正仿宋_GBK" w:cs="方正仿宋_GBK"/>
          <w:color w:val="000000"/>
          <w:sz w:val="32"/>
          <w:lang w:val="en-US" w:eastAsia="zh-CN"/>
        </w:rPr>
        <w:t>17</w:t>
      </w:r>
      <w:r>
        <w:rPr>
          <w:rFonts w:hint="eastAsia" w:ascii="方正仿宋_GBK" w:hAnsi="方正仿宋_GBK" w:eastAsia="方正仿宋_GBK" w:cs="方正仿宋_GBK"/>
          <w:color w:val="000000"/>
          <w:sz w:val="32"/>
        </w:rPr>
        <w:t>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关于1050mm热轧优特带钢生产线工程项目</w:t>
      </w: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环境影响报告表的批复</w:t>
      </w:r>
    </w:p>
    <w:p>
      <w:pPr>
        <w:spacing w:line="560" w:lineRule="exact"/>
        <w:jc w:val="center"/>
        <w:rPr>
          <w:rFonts w:ascii="方正小标宋简体" w:eastAsia="方正小标宋简体"/>
          <w:b/>
          <w:bCs/>
          <w:kern w:val="0"/>
          <w:sz w:val="44"/>
          <w:szCs w:val="44"/>
        </w:rPr>
      </w:pPr>
    </w:p>
    <w:p>
      <w:pPr>
        <w:snapToGrid w:val="0"/>
        <w:spacing w:line="540" w:lineRule="exact"/>
        <w:jc w:val="lef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云南玉溪仙福钢铁（集团）有限公司:</w:t>
      </w:r>
    </w:p>
    <w:p>
      <w:pPr>
        <w:spacing w:line="54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公司委托云南博曦环境影响评价有限公司编制的《1050mm热轧优特带钢生产线工程项目环境影响报告表》（以下简称《报告表》）及项目报批申请等收悉，经我局建设项目环境影响评价审查委员会审查，意见如下：</w:t>
      </w:r>
    </w:p>
    <w:p>
      <w:pPr>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一、根据《报告表》结论、技术评审意见，原则同意</w:t>
      </w:r>
      <w:r>
        <w:rPr>
          <w:rFonts w:hint="eastAsia" w:ascii="方正仿宋_GBK" w:hAnsi="方正仿宋_GBK" w:eastAsia="方正仿宋_GBK" w:cs="方正仿宋_GBK"/>
          <w:bCs/>
          <w:kern w:val="0"/>
          <w:sz w:val="32"/>
          <w:szCs w:val="32"/>
          <w:lang w:val="en-US" w:eastAsia="zh-CN"/>
        </w:rPr>
        <w:t>你公司</w:t>
      </w:r>
      <w:r>
        <w:rPr>
          <w:rFonts w:hint="eastAsia" w:ascii="方正仿宋_GBK" w:hAnsi="方正仿宋_GBK" w:eastAsia="方正仿宋_GBK" w:cs="方正仿宋_GBK"/>
          <w:bCs/>
          <w:kern w:val="0"/>
          <w:sz w:val="32"/>
          <w:szCs w:val="32"/>
        </w:rPr>
        <w:t>1050mm热轧优特带钢生产线工程项目按《报告表》中所述的内容、性质、规模、地点和环境保护对策措施进行项目建设。报批的《报告表》经批复后可作为该项目设计、建设、竣工环境保护验收及日常运行管理的依据。</w:t>
      </w:r>
    </w:p>
    <w:p>
      <w:pPr>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二、1050mm热轧优特带钢生产线工程项目位于</w:t>
      </w:r>
      <w:r>
        <w:rPr>
          <w:rFonts w:hint="eastAsia" w:ascii="方正仿宋_GBK" w:hAnsi="方正仿宋_GBK" w:eastAsia="方正仿宋_GBK" w:cs="方正仿宋_GBK"/>
          <w:bCs/>
          <w:kern w:val="0"/>
          <w:sz w:val="32"/>
          <w:szCs w:val="32"/>
          <w:lang w:val="en-US" w:eastAsia="zh-CN"/>
        </w:rPr>
        <w:t>新平工业园区扬武片区大开门（</w:t>
      </w:r>
      <w:r>
        <w:rPr>
          <w:rFonts w:hint="eastAsia" w:ascii="方正仿宋_GBK" w:hAnsi="方正仿宋_GBK" w:eastAsia="方正仿宋_GBK" w:cs="方正仿宋_GBK"/>
          <w:bCs/>
          <w:kern w:val="0"/>
          <w:sz w:val="32"/>
          <w:szCs w:val="32"/>
        </w:rPr>
        <w:t>云南玉溪仙福钢铁（集团）有限公司</w:t>
      </w:r>
      <w:r>
        <w:rPr>
          <w:rFonts w:hint="eastAsia" w:ascii="方正仿宋_GBK" w:hAnsi="方正仿宋_GBK" w:eastAsia="方正仿宋_GBK" w:cs="方正仿宋_GBK"/>
          <w:bCs/>
          <w:kern w:val="0"/>
          <w:sz w:val="32"/>
          <w:szCs w:val="32"/>
          <w:lang w:val="en-US" w:eastAsia="zh-CN"/>
        </w:rPr>
        <w:t>厂区内）</w:t>
      </w:r>
      <w:r>
        <w:rPr>
          <w:rFonts w:hint="eastAsia" w:ascii="方正仿宋_GBK" w:hAnsi="方正仿宋_GBK" w:eastAsia="方正仿宋_GBK" w:cs="方正仿宋_GBK"/>
          <w:bCs/>
          <w:kern w:val="0"/>
          <w:sz w:val="32"/>
          <w:szCs w:val="32"/>
        </w:rPr>
        <w:t>。项目于2021年1月21日</w:t>
      </w:r>
      <w:r>
        <w:rPr>
          <w:rFonts w:hint="eastAsia" w:ascii="方正仿宋_GBK" w:hAnsi="方正仿宋_GBK" w:eastAsia="方正仿宋_GBK" w:cs="方正仿宋_GBK"/>
          <w:bCs/>
          <w:kern w:val="0"/>
          <w:sz w:val="32"/>
          <w:szCs w:val="32"/>
          <w:lang w:val="en-US" w:eastAsia="zh-CN"/>
        </w:rPr>
        <w:t>在全国投资项目在线审批监管平台（云南）完成备案，取得</w:t>
      </w:r>
      <w:r>
        <w:rPr>
          <w:rFonts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rPr>
        <w:t>云南省固定资产</w:t>
      </w:r>
      <w:r>
        <w:rPr>
          <w:rFonts w:ascii="方正仿宋_GBK" w:hAnsi="方正仿宋_GBK" w:eastAsia="方正仿宋_GBK" w:cs="方正仿宋_GBK"/>
          <w:bCs/>
          <w:kern w:val="0"/>
          <w:sz w:val="32"/>
          <w:szCs w:val="32"/>
        </w:rPr>
        <w:t>投资项目备案证》</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新发改投资备案</w:t>
      </w:r>
      <w:r>
        <w:rPr>
          <w:rFonts w:hint="eastAsia" w:ascii="方正仿宋_GBK" w:hAnsi="方正仿宋_GBK" w:eastAsia="方正仿宋_GBK" w:cs="方正仿宋_GBK"/>
          <w:color w:val="000000"/>
          <w:sz w:val="32"/>
        </w:rPr>
        <w:t>〔2021〕</w:t>
      </w:r>
      <w:r>
        <w:rPr>
          <w:rFonts w:hint="eastAsia" w:ascii="方正仿宋_GBK" w:hAnsi="方正仿宋_GBK" w:eastAsia="方正仿宋_GBK" w:cs="方正仿宋_GBK"/>
          <w:color w:val="000000"/>
          <w:sz w:val="32"/>
          <w:lang w:val="en-US" w:eastAsia="zh-CN"/>
        </w:rPr>
        <w:t>14</w:t>
      </w:r>
      <w:r>
        <w:rPr>
          <w:rFonts w:hint="eastAsia" w:ascii="方正仿宋_GBK" w:hAnsi="方正仿宋_GBK" w:eastAsia="方正仿宋_GBK" w:cs="方正仿宋_GBK"/>
          <w:color w:val="000000"/>
          <w:sz w:val="32"/>
        </w:rPr>
        <w:t>号</w:t>
      </w:r>
      <w:r>
        <w:rPr>
          <w:rFonts w:hint="eastAsia" w:ascii="方正仿宋_GBK" w:hAnsi="方正仿宋_GBK" w:eastAsia="方正仿宋_GBK" w:cs="方正仿宋_GBK"/>
          <w:bCs/>
          <w:kern w:val="0"/>
          <w:sz w:val="32"/>
          <w:szCs w:val="32"/>
          <w:lang w:eastAsia="zh-CN"/>
        </w:rPr>
        <w:t>）</w:t>
      </w:r>
      <w:r>
        <w:rPr>
          <w:rFonts w:ascii="方正仿宋_GBK" w:hAnsi="方正仿宋_GBK" w:eastAsia="方正仿宋_GBK" w:cs="方正仿宋_GBK"/>
          <w:bCs/>
          <w:kern w:val="0"/>
          <w:sz w:val="32"/>
          <w:szCs w:val="32"/>
        </w:rPr>
        <w:t>，项目代码：2</w:t>
      </w:r>
      <w:r>
        <w:rPr>
          <w:rFonts w:hint="eastAsia" w:ascii="方正仿宋_GBK" w:hAnsi="方正仿宋_GBK" w:eastAsia="方正仿宋_GBK" w:cs="方正仿宋_GBK"/>
          <w:bCs/>
          <w:kern w:val="0"/>
          <w:sz w:val="32"/>
          <w:szCs w:val="32"/>
        </w:rPr>
        <w:t>101</w:t>
      </w:r>
      <w:r>
        <w:rPr>
          <w:rFonts w:ascii="方正仿宋_GBK" w:hAnsi="方正仿宋_GBK" w:eastAsia="方正仿宋_GBK" w:cs="方正仿宋_GBK"/>
          <w:bCs/>
          <w:kern w:val="0"/>
          <w:sz w:val="32"/>
          <w:szCs w:val="32"/>
        </w:rPr>
        <w:t>-530427-</w:t>
      </w:r>
      <w:r>
        <w:rPr>
          <w:rFonts w:hint="eastAsia" w:ascii="方正仿宋_GBK" w:hAnsi="方正仿宋_GBK" w:eastAsia="方正仿宋_GBK" w:cs="方正仿宋_GBK"/>
          <w:bCs/>
          <w:kern w:val="0"/>
          <w:sz w:val="32"/>
          <w:szCs w:val="32"/>
        </w:rPr>
        <w:t>04</w:t>
      </w:r>
      <w:r>
        <w:rPr>
          <w:rFonts w:ascii="方正仿宋_GBK" w:hAnsi="方正仿宋_GBK" w:eastAsia="方正仿宋_GBK" w:cs="方正仿宋_GBK"/>
          <w:bCs/>
          <w:kern w:val="0"/>
          <w:sz w:val="32"/>
          <w:szCs w:val="32"/>
        </w:rPr>
        <w:t>-0</w:t>
      </w:r>
      <w:r>
        <w:rPr>
          <w:rFonts w:hint="eastAsia" w:ascii="方正仿宋_GBK" w:hAnsi="方正仿宋_GBK" w:eastAsia="方正仿宋_GBK" w:cs="方正仿宋_GBK"/>
          <w:bCs/>
          <w:kern w:val="0"/>
          <w:sz w:val="32"/>
          <w:szCs w:val="32"/>
        </w:rPr>
        <w:t>2</w:t>
      </w:r>
      <w:r>
        <w:rPr>
          <w:rFonts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rPr>
        <w:t>463420</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建设性质为新建。建设</w:t>
      </w:r>
      <w:r>
        <w:rPr>
          <w:rFonts w:hint="eastAsia" w:ascii="方正仿宋_GBK" w:hAnsi="方正仿宋_GBK" w:eastAsia="方正仿宋_GBK" w:cs="方正仿宋_GBK"/>
          <w:bCs/>
          <w:kern w:val="0"/>
          <w:sz w:val="32"/>
          <w:szCs w:val="32"/>
          <w:lang w:val="en-US" w:eastAsia="zh-CN"/>
        </w:rPr>
        <w:t>内容及规模</w:t>
      </w:r>
      <w:r>
        <w:rPr>
          <w:rFonts w:hint="eastAsia" w:ascii="方正仿宋_GBK" w:hAnsi="方正仿宋_GBK" w:eastAsia="方正仿宋_GBK" w:cs="方正仿宋_GBK"/>
          <w:bCs/>
          <w:kern w:val="0"/>
          <w:sz w:val="32"/>
          <w:szCs w:val="32"/>
        </w:rPr>
        <w:t>：项目规划总占地面积65000平方米，建筑面积37545平方米</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新建一条1050mm热轧优特带钢生产线，设计年生产各种规格的热轧钢</w:t>
      </w:r>
      <w:r>
        <w:rPr>
          <w:rFonts w:hint="eastAsia" w:ascii="方正仿宋_GBK" w:hAnsi="方正仿宋_GBK" w:eastAsia="方正仿宋_GBK" w:cs="方正仿宋_GBK"/>
          <w:bCs/>
          <w:kern w:val="0"/>
          <w:sz w:val="32"/>
          <w:szCs w:val="32"/>
          <w:lang w:val="en-US" w:eastAsia="zh-CN"/>
        </w:rPr>
        <w:t>卷</w:t>
      </w:r>
      <w:r>
        <w:rPr>
          <w:rFonts w:hint="eastAsia" w:ascii="方正仿宋_GBK" w:hAnsi="方正仿宋_GBK" w:eastAsia="方正仿宋_GBK" w:cs="方正仿宋_GBK"/>
          <w:bCs/>
          <w:kern w:val="0"/>
          <w:sz w:val="32"/>
          <w:szCs w:val="32"/>
        </w:rPr>
        <w:t>180万吨。项目总投资76596.12万元，</w:t>
      </w:r>
      <w:r>
        <w:rPr>
          <w:rFonts w:ascii="方正仿宋_GBK" w:hAnsi="方正仿宋_GBK" w:eastAsia="方正仿宋_GBK" w:cs="方正仿宋_GBK"/>
          <w:bCs/>
          <w:kern w:val="0"/>
          <w:sz w:val="32"/>
          <w:szCs w:val="32"/>
        </w:rPr>
        <w:t>其中</w:t>
      </w:r>
      <w:r>
        <w:rPr>
          <w:rFonts w:hint="eastAsia" w:ascii="方正仿宋_GBK" w:hAnsi="方正仿宋_GBK" w:eastAsia="方正仿宋_GBK" w:cs="方正仿宋_GBK"/>
          <w:bCs/>
          <w:kern w:val="0"/>
          <w:sz w:val="32"/>
          <w:szCs w:val="32"/>
          <w:lang w:val="en-US" w:eastAsia="zh-CN"/>
        </w:rPr>
        <w:t>环保</w:t>
      </w:r>
      <w:r>
        <w:rPr>
          <w:rFonts w:ascii="方正仿宋_GBK" w:hAnsi="方正仿宋_GBK" w:eastAsia="方正仿宋_GBK" w:cs="方正仿宋_GBK"/>
          <w:bCs/>
          <w:kern w:val="0"/>
          <w:sz w:val="32"/>
          <w:szCs w:val="32"/>
        </w:rPr>
        <w:t>投资</w:t>
      </w:r>
      <w:r>
        <w:rPr>
          <w:rFonts w:hint="eastAsia" w:ascii="方正仿宋_GBK" w:hAnsi="方正仿宋_GBK" w:eastAsia="方正仿宋_GBK" w:cs="方正仿宋_GBK"/>
          <w:bCs/>
          <w:kern w:val="0"/>
          <w:sz w:val="32"/>
          <w:szCs w:val="32"/>
        </w:rPr>
        <w:t>976</w:t>
      </w:r>
      <w:r>
        <w:rPr>
          <w:rFonts w:ascii="方正仿宋_GBK" w:hAnsi="方正仿宋_GBK" w:eastAsia="方正仿宋_GBK" w:cs="方正仿宋_GBK"/>
          <w:bCs/>
          <w:kern w:val="0"/>
          <w:sz w:val="32"/>
          <w:szCs w:val="32"/>
        </w:rPr>
        <w:t>万元，</w:t>
      </w:r>
      <w:r>
        <w:rPr>
          <w:rFonts w:hint="eastAsia" w:ascii="方正仿宋_GBK" w:hAnsi="方正仿宋_GBK" w:eastAsia="方正仿宋_GBK" w:cs="方正仿宋_GBK"/>
          <w:bCs/>
          <w:kern w:val="0"/>
          <w:sz w:val="32"/>
          <w:szCs w:val="32"/>
        </w:rPr>
        <w:t>环保投资比例为1.27</w:t>
      </w:r>
      <w:r>
        <w:rPr>
          <w:rFonts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rPr>
        <w:t>。</w:t>
      </w:r>
    </w:p>
    <w:p>
      <w:pPr>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三、要求你公司在项目建设和运营过程中必须严格按照《报告表》的要求做好环境保护工作，全面落实环保对策措施：</w:t>
      </w:r>
    </w:p>
    <w:p>
      <w:pPr>
        <w:spacing w:line="54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（一）项目必须严格落实《报告表》中的各项环境保护设施及污染防治对策措施，项目建设和运行不得降低区域环境功能，环境质量标准和排放标准按《报告表》中所列的标准执行。</w:t>
      </w:r>
    </w:p>
    <w:p>
      <w:pPr>
        <w:spacing w:line="540" w:lineRule="exact"/>
        <w:ind w:firstLine="640" w:firstLineChars="200"/>
        <w:rPr>
          <w:rFonts w:hint="eastAsia"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（二）建设单位须严格做好项目施工期间的各项环境保护工作，落实扬尘、废水、固废、噪声等污染防治措施，清洁文明施工，严防施工期对环境保护目标及周围环境造成污染。</w:t>
      </w:r>
    </w:p>
    <w:p>
      <w:pPr>
        <w:spacing w:line="540" w:lineRule="exact"/>
        <w:ind w:firstLine="640" w:firstLineChars="200"/>
        <w:rPr>
          <w:rFonts w:hint="eastAsia"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（三）严格落实大气污染防治措施。热处理炉为步进式双蓄热式加热炉，</w:t>
      </w:r>
      <w:r>
        <w:rPr>
          <w:rFonts w:hint="eastAsia" w:ascii="方正仿宋_GBK" w:hAnsi="方正仿宋_GBK" w:eastAsia="方正仿宋_GBK" w:cs="方正仿宋_GBK"/>
          <w:bCs/>
          <w:color w:val="000000" w:themeColor="text1"/>
          <w:kern w:val="0"/>
          <w:sz w:val="32"/>
          <w:szCs w:val="32"/>
          <w:lang w:val="en-US" w:eastAsia="zh-CN"/>
        </w:rPr>
        <w:t>使用净化后的高炉煤气采用高温空气燃烧（HTAC）技术进行燃烧。</w:t>
      </w:r>
      <w:r>
        <w:rPr>
          <w:rFonts w:hint="eastAsia" w:ascii="方正仿宋_GBK" w:hAnsi="方正仿宋_GBK" w:eastAsia="方正仿宋_GBK" w:cs="方正仿宋_GBK"/>
          <w:bCs/>
          <w:color w:val="000000" w:themeColor="text1"/>
          <w:kern w:val="0"/>
          <w:sz w:val="32"/>
          <w:szCs w:val="32"/>
        </w:rPr>
        <w:t>排烟系统分为空气排烟系统和煤气排烟系统</w:t>
      </w:r>
      <w:r>
        <w:rPr>
          <w:rFonts w:hint="eastAsia" w:ascii="方正仿宋_GBK" w:hAnsi="方正仿宋_GBK" w:eastAsia="方正仿宋_GBK" w:cs="方正仿宋_GBK"/>
          <w:bCs/>
          <w:color w:val="000000" w:themeColor="text1"/>
          <w:kern w:val="0"/>
          <w:sz w:val="32"/>
          <w:szCs w:val="32"/>
          <w:lang w:val="en-US" w:eastAsia="zh-CN"/>
        </w:rPr>
        <w:t>，</w:t>
      </w:r>
      <w:r>
        <w:rPr>
          <w:rFonts w:hint="eastAsia" w:ascii="方正仿宋_GBK" w:hAnsi="方正仿宋_GBK" w:eastAsia="方正仿宋_GBK" w:cs="方正仿宋_GBK"/>
          <w:bCs/>
          <w:color w:val="000000" w:themeColor="text1"/>
          <w:kern w:val="0"/>
          <w:sz w:val="32"/>
          <w:szCs w:val="32"/>
        </w:rPr>
        <w:t>空气排烟系统废气</w:t>
      </w:r>
      <w:r>
        <w:rPr>
          <w:rFonts w:hint="eastAsia" w:ascii="方正仿宋_GBK" w:hAnsi="方正仿宋_GBK" w:eastAsia="方正仿宋_GBK" w:cs="方正仿宋_GBK"/>
          <w:bCs/>
          <w:color w:val="000000" w:themeColor="text1"/>
          <w:kern w:val="0"/>
          <w:sz w:val="32"/>
          <w:szCs w:val="32"/>
          <w:lang w:val="en-US" w:eastAsia="zh-CN"/>
        </w:rPr>
        <w:t>通</w:t>
      </w:r>
      <w:r>
        <w:rPr>
          <w:rFonts w:hint="eastAsia" w:ascii="方正仿宋_GBK" w:hAnsi="方正仿宋_GBK" w:eastAsia="方正仿宋_GBK" w:cs="方正仿宋_GBK"/>
          <w:bCs/>
          <w:color w:val="000000" w:themeColor="text1"/>
          <w:kern w:val="0"/>
          <w:sz w:val="32"/>
          <w:szCs w:val="32"/>
        </w:rPr>
        <w:t>过</w:t>
      </w:r>
      <w:r>
        <w:rPr>
          <w:rFonts w:hint="eastAsia" w:ascii="方正仿宋_GBK" w:hAnsi="方正仿宋_GBK" w:eastAsia="方正仿宋_GBK" w:cs="方正仿宋_GBK"/>
          <w:bCs/>
          <w:color w:val="000000" w:themeColor="text1"/>
          <w:kern w:val="0"/>
          <w:sz w:val="32"/>
          <w:szCs w:val="32"/>
          <w:lang w:val="en-US" w:eastAsia="zh-CN"/>
        </w:rPr>
        <w:t>1根</w:t>
      </w:r>
      <w:r>
        <w:rPr>
          <w:rFonts w:hint="eastAsia" w:ascii="方正仿宋_GBK" w:hAnsi="方正仿宋_GBK" w:eastAsia="方正仿宋_GBK" w:cs="方正仿宋_GBK"/>
          <w:bCs/>
          <w:color w:val="000000" w:themeColor="text1"/>
          <w:kern w:val="0"/>
          <w:sz w:val="32"/>
          <w:szCs w:val="32"/>
        </w:rPr>
        <w:t>30</w:t>
      </w:r>
      <w:r>
        <w:rPr>
          <w:rFonts w:hint="eastAsia" w:ascii="方正仿宋_GBK" w:hAnsi="方正仿宋_GBK" w:eastAsia="方正仿宋_GBK" w:cs="方正仿宋_GBK"/>
          <w:bCs/>
          <w:color w:val="000000" w:themeColor="text1"/>
          <w:kern w:val="0"/>
          <w:sz w:val="32"/>
          <w:szCs w:val="32"/>
          <w:lang w:val="en-US" w:eastAsia="zh-CN"/>
        </w:rPr>
        <w:t>m</w:t>
      </w:r>
      <w:r>
        <w:rPr>
          <w:rFonts w:hint="eastAsia" w:ascii="方正仿宋_GBK" w:hAnsi="方正仿宋_GBK" w:eastAsia="方正仿宋_GBK" w:cs="方正仿宋_GBK"/>
          <w:bCs/>
          <w:color w:val="000000" w:themeColor="text1"/>
          <w:kern w:val="0"/>
          <w:sz w:val="32"/>
          <w:szCs w:val="32"/>
        </w:rPr>
        <w:t>高</w:t>
      </w:r>
      <w:r>
        <w:rPr>
          <w:rFonts w:hint="eastAsia" w:ascii="方正仿宋_GBK" w:hAnsi="方正仿宋_GBK" w:eastAsia="方正仿宋_GBK" w:cs="方正仿宋_GBK"/>
          <w:bCs/>
          <w:color w:val="000000" w:themeColor="text1"/>
          <w:kern w:val="0"/>
          <w:sz w:val="32"/>
          <w:szCs w:val="32"/>
          <w:lang w:val="en-US" w:eastAsia="zh-CN"/>
        </w:rPr>
        <w:t>空烟</w:t>
      </w:r>
      <w:r>
        <w:rPr>
          <w:rFonts w:hint="eastAsia" w:ascii="方正仿宋_GBK" w:hAnsi="方正仿宋_GBK" w:eastAsia="方正仿宋_GBK" w:cs="方正仿宋_GBK"/>
          <w:bCs/>
          <w:color w:val="000000" w:themeColor="text1"/>
          <w:kern w:val="0"/>
          <w:sz w:val="32"/>
          <w:szCs w:val="32"/>
        </w:rPr>
        <w:t>烟囱排放</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rPr>
        <w:t>煤气排烟系统废气</w:t>
      </w:r>
      <w:r>
        <w:rPr>
          <w:rFonts w:hint="eastAsia" w:ascii="方正仿宋_GBK" w:hAnsi="方正仿宋_GBK" w:eastAsia="方正仿宋_GBK" w:cs="方正仿宋_GBK"/>
          <w:bCs/>
          <w:color w:val="000000" w:themeColor="text1"/>
          <w:kern w:val="0"/>
          <w:sz w:val="32"/>
          <w:szCs w:val="32"/>
          <w:lang w:val="en-US" w:eastAsia="zh-CN"/>
        </w:rPr>
        <w:t>通</w:t>
      </w:r>
      <w:r>
        <w:rPr>
          <w:rFonts w:hint="eastAsia" w:ascii="方正仿宋_GBK" w:hAnsi="方正仿宋_GBK" w:eastAsia="方正仿宋_GBK" w:cs="方正仿宋_GBK"/>
          <w:bCs/>
          <w:color w:val="000000" w:themeColor="text1"/>
          <w:kern w:val="0"/>
          <w:sz w:val="32"/>
          <w:szCs w:val="32"/>
        </w:rPr>
        <w:t>过</w:t>
      </w:r>
      <w:r>
        <w:rPr>
          <w:rFonts w:hint="eastAsia" w:ascii="方正仿宋_GBK" w:hAnsi="方正仿宋_GBK" w:eastAsia="方正仿宋_GBK" w:cs="方正仿宋_GBK"/>
          <w:bCs/>
          <w:color w:val="000000" w:themeColor="text1"/>
          <w:kern w:val="0"/>
          <w:sz w:val="32"/>
          <w:szCs w:val="32"/>
          <w:lang w:val="en-US" w:eastAsia="zh-CN"/>
        </w:rPr>
        <w:t>1根</w:t>
      </w:r>
      <w:r>
        <w:rPr>
          <w:rFonts w:hint="eastAsia" w:ascii="方正仿宋_GBK" w:hAnsi="方正仿宋_GBK" w:eastAsia="方正仿宋_GBK" w:cs="方正仿宋_GBK"/>
          <w:bCs/>
          <w:color w:val="000000" w:themeColor="text1"/>
          <w:kern w:val="0"/>
          <w:sz w:val="32"/>
          <w:szCs w:val="32"/>
        </w:rPr>
        <w:t>30</w:t>
      </w:r>
      <w:r>
        <w:rPr>
          <w:rFonts w:hint="eastAsia" w:ascii="方正仿宋_GBK" w:hAnsi="方正仿宋_GBK" w:eastAsia="方正仿宋_GBK" w:cs="方正仿宋_GBK"/>
          <w:bCs/>
          <w:color w:val="000000" w:themeColor="text1"/>
          <w:kern w:val="0"/>
          <w:sz w:val="32"/>
          <w:szCs w:val="32"/>
          <w:lang w:val="en-US" w:eastAsia="zh-CN"/>
        </w:rPr>
        <w:t>m</w:t>
      </w:r>
      <w:r>
        <w:rPr>
          <w:rFonts w:hint="eastAsia" w:ascii="方正仿宋_GBK" w:hAnsi="方正仿宋_GBK" w:eastAsia="方正仿宋_GBK" w:cs="方正仿宋_GBK"/>
          <w:bCs/>
          <w:color w:val="000000" w:themeColor="text1"/>
          <w:kern w:val="0"/>
          <w:sz w:val="32"/>
          <w:szCs w:val="32"/>
        </w:rPr>
        <w:t>高</w:t>
      </w:r>
      <w:r>
        <w:rPr>
          <w:rFonts w:hint="eastAsia" w:ascii="方正仿宋_GBK" w:hAnsi="方正仿宋_GBK" w:eastAsia="方正仿宋_GBK" w:cs="方正仿宋_GBK"/>
          <w:bCs/>
          <w:color w:val="000000" w:themeColor="text1"/>
          <w:kern w:val="0"/>
          <w:sz w:val="32"/>
          <w:szCs w:val="32"/>
          <w:lang w:val="en-US" w:eastAsia="zh-CN"/>
        </w:rPr>
        <w:t>煤烟</w:t>
      </w:r>
      <w:r>
        <w:rPr>
          <w:rFonts w:hint="eastAsia" w:ascii="方正仿宋_GBK" w:hAnsi="方正仿宋_GBK" w:eastAsia="方正仿宋_GBK" w:cs="方正仿宋_GBK"/>
          <w:bCs/>
          <w:color w:val="000000" w:themeColor="text1"/>
          <w:kern w:val="0"/>
          <w:sz w:val="32"/>
          <w:szCs w:val="32"/>
        </w:rPr>
        <w:t>烟囱排放</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lang w:val="en-US" w:eastAsia="zh-CN"/>
        </w:rPr>
        <w:t>排放的</w:t>
      </w:r>
      <w:r>
        <w:rPr>
          <w:rFonts w:hint="eastAsia" w:ascii="方正仿宋_GBK" w:hAnsi="方正仿宋_GBK" w:eastAsia="方正仿宋_GBK" w:cs="方正仿宋_GBK"/>
          <w:bCs/>
          <w:color w:val="000000" w:themeColor="text1"/>
          <w:kern w:val="0"/>
          <w:sz w:val="32"/>
          <w:szCs w:val="32"/>
        </w:rPr>
        <w:t>颗粒物、二氧化硫、氮氧化物执行</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rPr>
        <w:t>关于推进实施钢铁行业超低排放的意见</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rPr>
        <w:t>环大气﹝2019﹞35号</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lang w:val="en-US" w:eastAsia="zh-CN"/>
        </w:rPr>
        <w:t>附件2</w:t>
      </w:r>
      <w:r>
        <w:rPr>
          <w:rFonts w:hint="eastAsia" w:ascii="方正仿宋_GBK" w:hAnsi="方正仿宋_GBK" w:eastAsia="方正仿宋_GBK" w:cs="方正仿宋_GBK"/>
          <w:bCs/>
          <w:color w:val="000000" w:themeColor="text1"/>
          <w:kern w:val="0"/>
          <w:sz w:val="32"/>
          <w:szCs w:val="32"/>
        </w:rPr>
        <w:t>钢铁企业超低排放指标限值</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lang w:val="en-US" w:eastAsia="zh-CN"/>
        </w:rPr>
        <w:t>轧钢</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lang w:val="en-US" w:eastAsia="zh-CN"/>
        </w:rPr>
        <w:t>粗轧产生的粉尘经8个捕集罩+1套塑烧板除尘器收集处理后，通过1根30m高的排气筒排放；精轧产生的粉尘经9个捕集罩+1套塑烧板除尘器收集处理后，通过1根30m高的排气筒排放。</w:t>
      </w:r>
      <w:r>
        <w:rPr>
          <w:rFonts w:hint="eastAsia" w:ascii="方正仿宋_GBK" w:hAnsi="方正仿宋_GBK" w:eastAsia="方正仿宋_GBK" w:cs="方正仿宋_GBK"/>
          <w:bCs/>
          <w:color w:val="000000" w:themeColor="text1"/>
          <w:kern w:val="0"/>
          <w:sz w:val="32"/>
          <w:szCs w:val="32"/>
        </w:rPr>
        <w:t>粗轧机</w:t>
      </w:r>
      <w:r>
        <w:rPr>
          <w:rFonts w:hint="eastAsia" w:ascii="方正仿宋_GBK" w:hAnsi="方正仿宋_GBK" w:eastAsia="方正仿宋_GBK" w:cs="方正仿宋_GBK"/>
          <w:bCs/>
          <w:color w:val="000000" w:themeColor="text1"/>
          <w:kern w:val="0"/>
          <w:sz w:val="32"/>
          <w:szCs w:val="32"/>
          <w:lang w:val="en-US" w:eastAsia="zh-CN"/>
        </w:rPr>
        <w:t>和精轧机</w:t>
      </w:r>
      <w:r>
        <w:rPr>
          <w:rFonts w:hint="eastAsia" w:ascii="方正仿宋_GBK" w:hAnsi="方正仿宋_GBK" w:eastAsia="方正仿宋_GBK" w:cs="方正仿宋_GBK"/>
          <w:bCs/>
          <w:color w:val="000000" w:themeColor="text1"/>
          <w:kern w:val="0"/>
          <w:sz w:val="32"/>
          <w:szCs w:val="32"/>
        </w:rPr>
        <w:t>颗粒物</w:t>
      </w:r>
      <w:r>
        <w:rPr>
          <w:rFonts w:hint="eastAsia" w:ascii="方正仿宋_GBK" w:hAnsi="方正仿宋_GBK" w:eastAsia="方正仿宋_GBK" w:cs="方正仿宋_GBK"/>
          <w:bCs/>
          <w:color w:val="000000" w:themeColor="text1"/>
          <w:kern w:val="0"/>
          <w:sz w:val="32"/>
          <w:szCs w:val="32"/>
          <w:lang w:val="en-US" w:eastAsia="zh-CN"/>
        </w:rPr>
        <w:t>排放</w:t>
      </w:r>
      <w:r>
        <w:rPr>
          <w:rFonts w:hint="eastAsia" w:ascii="方正仿宋_GBK" w:hAnsi="方正仿宋_GBK" w:eastAsia="方正仿宋_GBK" w:cs="方正仿宋_GBK"/>
          <w:bCs/>
          <w:color w:val="000000" w:themeColor="text1"/>
          <w:kern w:val="0"/>
          <w:sz w:val="32"/>
          <w:szCs w:val="32"/>
        </w:rPr>
        <w:t>执行《轧钢工业大气污染物排放标准》（GB28665-2012）表2</w:t>
      </w:r>
      <w:r>
        <w:rPr>
          <w:rFonts w:hint="eastAsia" w:ascii="方正仿宋_GBK" w:hAnsi="方正仿宋_GBK" w:eastAsia="方正仿宋_GBK" w:cs="方正仿宋_GBK"/>
          <w:bCs/>
          <w:color w:val="000000" w:themeColor="text1"/>
          <w:kern w:val="0"/>
          <w:sz w:val="32"/>
          <w:szCs w:val="32"/>
          <w:lang w:val="en-US" w:eastAsia="zh-CN"/>
        </w:rPr>
        <w:t>相应</w:t>
      </w:r>
      <w:r>
        <w:rPr>
          <w:rFonts w:hint="eastAsia" w:ascii="方正仿宋_GBK" w:hAnsi="方正仿宋_GBK" w:eastAsia="方正仿宋_GBK" w:cs="方正仿宋_GBK"/>
          <w:bCs/>
          <w:color w:val="000000" w:themeColor="text1"/>
          <w:kern w:val="0"/>
          <w:sz w:val="32"/>
          <w:szCs w:val="32"/>
        </w:rPr>
        <w:t>排放限值</w:t>
      </w:r>
      <w:r>
        <w:rPr>
          <w:rFonts w:hint="eastAsia" w:ascii="方正仿宋_GBK" w:hAnsi="方正仿宋_GBK" w:eastAsia="方正仿宋_GBK" w:cs="方正仿宋_GBK"/>
          <w:bCs/>
          <w:color w:val="000000" w:themeColor="text1"/>
          <w:kern w:val="0"/>
          <w:sz w:val="32"/>
          <w:szCs w:val="32"/>
          <w:lang w:val="en-US" w:eastAsia="zh-CN"/>
        </w:rPr>
        <w:t>要求</w:t>
      </w:r>
      <w:r>
        <w:rPr>
          <w:rFonts w:hint="eastAsia" w:ascii="方正仿宋_GBK" w:hAnsi="方正仿宋_GBK" w:eastAsia="方正仿宋_GBK" w:cs="方正仿宋_GBK"/>
          <w:bCs/>
          <w:color w:val="000000" w:themeColor="text1"/>
          <w:kern w:val="0"/>
          <w:sz w:val="32"/>
          <w:szCs w:val="32"/>
          <w:lang w:eastAsia="zh-CN"/>
        </w:rPr>
        <w:t>。</w:t>
      </w:r>
    </w:p>
    <w:p>
      <w:pPr>
        <w:spacing w:line="540" w:lineRule="exact"/>
        <w:ind w:firstLine="640" w:firstLineChars="200"/>
        <w:rPr>
          <w:rFonts w:ascii="方正仿宋_GBK" w:hAnsi="宋体" w:eastAsia="方正仿宋_GBK"/>
          <w:bCs/>
          <w:color w:val="000000" w:themeColor="text1"/>
          <w:kern w:val="0"/>
          <w:sz w:val="32"/>
          <w:szCs w:val="32"/>
        </w:rPr>
      </w:pPr>
      <w:r>
        <w:rPr>
          <w:rFonts w:hint="eastAsia" w:ascii="方正仿宋_GBK" w:hAnsi="宋体" w:eastAsia="方正仿宋_GBK"/>
          <w:bCs/>
          <w:color w:val="000000" w:themeColor="text1"/>
          <w:kern w:val="0"/>
          <w:sz w:val="32"/>
          <w:szCs w:val="32"/>
        </w:rPr>
        <w:t>（四）严格落实水污染防治措施。</w:t>
      </w:r>
      <w:r>
        <w:rPr>
          <w:rFonts w:hint="eastAsia" w:ascii="方正仿宋_GBK" w:hAnsi="宋体" w:eastAsia="方正仿宋_GBK"/>
          <w:bCs/>
          <w:color w:val="000000" w:themeColor="text1"/>
          <w:kern w:val="0"/>
          <w:sz w:val="32"/>
          <w:szCs w:val="32"/>
          <w:lang w:val="en-US" w:eastAsia="zh-CN"/>
        </w:rPr>
        <w:t>运营期产生的生活废水依托本公司产能置换技术升级改造项目设置的生活污水处理站，处理达到《城市污水再生利用 城市杂用水水质》（GB/T18920—2020）道路清扫、绿化用水标准后，回用于项目区绿化降尘；净循环系统产生的废水直接回用于浊循环系统，浊循环系统产生的废水经配套建设的一体化浊</w:t>
      </w:r>
      <w:r>
        <w:rPr>
          <w:rFonts w:hint="eastAsia" w:ascii="方正仿宋_GBK" w:hAnsi="宋体" w:eastAsia="方正仿宋_GBK"/>
          <w:bCs/>
          <w:color w:val="000000" w:themeColor="text1"/>
          <w:kern w:val="0"/>
          <w:sz w:val="32"/>
          <w:szCs w:val="32"/>
        </w:rPr>
        <w:t>循</w:t>
      </w:r>
      <w:r>
        <w:rPr>
          <w:rFonts w:hint="eastAsia" w:ascii="方正仿宋_GBK" w:hAnsi="宋体" w:eastAsia="方正仿宋_GBK"/>
          <w:bCs/>
          <w:color w:val="000000" w:themeColor="text1"/>
          <w:kern w:val="0"/>
          <w:sz w:val="32"/>
          <w:szCs w:val="32"/>
          <w:lang w:val="en-US" w:eastAsia="zh-CN"/>
        </w:rPr>
        <w:t>环水净化处理设施（处理规模6500m</w:t>
      </w:r>
      <w:r>
        <w:rPr>
          <w:rFonts w:hint="eastAsia" w:ascii="方正仿宋_GBK" w:hAnsi="宋体" w:eastAsia="方正仿宋_GBK"/>
          <w:bCs/>
          <w:color w:val="000000" w:themeColor="text1"/>
          <w:kern w:val="0"/>
          <w:sz w:val="32"/>
          <w:szCs w:val="32"/>
          <w:vertAlign w:val="superscript"/>
          <w:lang w:val="en-US" w:eastAsia="zh-CN"/>
        </w:rPr>
        <w:t>3</w:t>
      </w:r>
      <w:r>
        <w:rPr>
          <w:rFonts w:hint="eastAsia" w:ascii="方正仿宋_GBK" w:hAnsi="宋体" w:eastAsia="方正仿宋_GBK"/>
          <w:bCs/>
          <w:color w:val="000000" w:themeColor="text1"/>
          <w:kern w:val="0"/>
          <w:sz w:val="32"/>
          <w:szCs w:val="32"/>
          <w:lang w:val="en-US" w:eastAsia="zh-CN"/>
        </w:rPr>
        <w:t>/h）处理后回用于浊循环系统，不得外排。</w:t>
      </w:r>
    </w:p>
    <w:p>
      <w:pPr>
        <w:adjustRightInd w:val="0"/>
        <w:snapToGrid w:val="0"/>
        <w:spacing w:line="540" w:lineRule="exact"/>
        <w:ind w:firstLine="640" w:firstLineChars="200"/>
        <w:rPr>
          <w:rFonts w:hint="eastAsia" w:ascii="方正仿宋_GBK" w:hAnsi="宋体" w:eastAsia="方正仿宋_GBK"/>
          <w:bCs/>
          <w:kern w:val="0"/>
          <w:sz w:val="32"/>
          <w:szCs w:val="32"/>
        </w:rPr>
      </w:pPr>
      <w:r>
        <w:rPr>
          <w:rFonts w:hint="eastAsia" w:ascii="方正仿宋_GBK" w:hAnsi="宋体" w:eastAsia="方正仿宋_GBK"/>
          <w:bCs/>
          <w:color w:val="000000" w:themeColor="text1"/>
          <w:kern w:val="0"/>
          <w:sz w:val="32"/>
          <w:szCs w:val="32"/>
        </w:rPr>
        <w:t>（五）严格落实噪声污染防治措</w:t>
      </w:r>
      <w:r>
        <w:rPr>
          <w:rFonts w:hint="eastAsia" w:ascii="方正仿宋_GBK" w:hAnsi="宋体" w:eastAsia="方正仿宋_GBK"/>
          <w:bCs/>
          <w:kern w:val="0"/>
          <w:sz w:val="32"/>
          <w:szCs w:val="32"/>
        </w:rPr>
        <w:t>施。</w:t>
      </w:r>
      <w:r>
        <w:rPr>
          <w:rFonts w:hint="eastAsia" w:ascii="方正仿宋_GBK" w:hAnsi="宋体" w:eastAsia="方正仿宋_GBK"/>
          <w:bCs/>
          <w:kern w:val="0"/>
          <w:sz w:val="32"/>
          <w:szCs w:val="32"/>
          <w:lang w:val="en-US" w:eastAsia="zh-CN"/>
        </w:rPr>
        <w:t>优先选</w:t>
      </w:r>
      <w:r>
        <w:rPr>
          <w:rFonts w:hint="eastAsia" w:ascii="方正仿宋_GBK" w:hAnsi="宋体" w:eastAsia="方正仿宋_GBK"/>
          <w:bCs/>
          <w:kern w:val="0"/>
          <w:sz w:val="32"/>
          <w:szCs w:val="32"/>
        </w:rPr>
        <w:t>用低噪声设备</w:t>
      </w:r>
      <w:r>
        <w:rPr>
          <w:rFonts w:hint="eastAsia" w:ascii="方正仿宋_GBK" w:hAnsi="宋体" w:eastAsia="方正仿宋_GBK"/>
          <w:bCs/>
          <w:kern w:val="0"/>
          <w:sz w:val="32"/>
          <w:szCs w:val="32"/>
          <w:lang w:eastAsia="zh-CN"/>
        </w:rPr>
        <w:t>，</w:t>
      </w:r>
      <w:r>
        <w:rPr>
          <w:rFonts w:hint="eastAsia" w:ascii="方正仿宋_GBK" w:hAnsi="宋体" w:eastAsia="方正仿宋_GBK"/>
          <w:bCs/>
          <w:kern w:val="0"/>
          <w:sz w:val="32"/>
          <w:szCs w:val="32"/>
          <w:lang w:val="en-US" w:eastAsia="zh-CN"/>
        </w:rPr>
        <w:t>高噪声设备安装</w:t>
      </w:r>
      <w:r>
        <w:rPr>
          <w:rFonts w:hint="eastAsia" w:ascii="方正仿宋_GBK" w:hAnsi="宋体" w:eastAsia="方正仿宋_GBK"/>
          <w:bCs/>
          <w:kern w:val="0"/>
          <w:sz w:val="32"/>
          <w:szCs w:val="32"/>
        </w:rPr>
        <w:t>消声器、减振垫减震等措施，同时设备之间保持间距，避免噪声叠加影响；加强设备的维护，确保设备处于良好的运转状态，杜绝因设备不正常运转时产生的高噪声现象，厂界噪声应满足《工业企业厂界环境噪声排放标准》（GB12348—2008）中3类标准要求。</w:t>
      </w:r>
    </w:p>
    <w:p>
      <w:pPr>
        <w:spacing w:line="540" w:lineRule="exact"/>
        <w:ind w:firstLine="640" w:firstLineChars="200"/>
        <w:rPr>
          <w:rFonts w:hint="eastAsia" w:ascii="方正仿宋_GBK" w:hAnsi="宋体" w:eastAsia="方正仿宋_GBK"/>
          <w:bCs/>
          <w:color w:val="000000" w:themeColor="text1"/>
          <w:kern w:val="0"/>
          <w:sz w:val="32"/>
          <w:szCs w:val="32"/>
        </w:rPr>
      </w:pPr>
      <w:r>
        <w:rPr>
          <w:rFonts w:hint="eastAsia" w:ascii="方正仿宋_GBK" w:hAnsi="宋体" w:eastAsia="方正仿宋_GBK"/>
          <w:bCs/>
          <w:color w:val="000000" w:themeColor="text1"/>
          <w:kern w:val="0"/>
          <w:sz w:val="32"/>
          <w:szCs w:val="32"/>
        </w:rPr>
        <w:t>（六）严格落实固体废物分类处置和综合利用措施。废耐火材料经收集后部分</w:t>
      </w:r>
      <w:r>
        <w:rPr>
          <w:rFonts w:hint="eastAsia" w:ascii="方正仿宋_GBK" w:hAnsi="宋体" w:eastAsia="方正仿宋_GBK"/>
          <w:bCs/>
          <w:color w:val="000000" w:themeColor="text1"/>
          <w:kern w:val="0"/>
          <w:sz w:val="32"/>
          <w:szCs w:val="32"/>
          <w:lang w:val="en-US" w:eastAsia="zh-CN"/>
        </w:rPr>
        <w:t>粉碎</w:t>
      </w:r>
      <w:r>
        <w:rPr>
          <w:rFonts w:hint="eastAsia" w:ascii="方正仿宋_GBK" w:hAnsi="宋体" w:eastAsia="方正仿宋_GBK"/>
          <w:bCs/>
          <w:color w:val="000000" w:themeColor="text1"/>
          <w:kern w:val="0"/>
          <w:sz w:val="32"/>
          <w:szCs w:val="32"/>
        </w:rPr>
        <w:t>作为炉体充填材料，剩余外售作为建筑材料原料；</w:t>
      </w:r>
      <w:r>
        <w:rPr>
          <w:rFonts w:hint="eastAsia" w:ascii="方正仿宋_GBK" w:hAnsi="宋体" w:eastAsia="方正仿宋_GBK"/>
          <w:bCs/>
          <w:color w:val="000000" w:themeColor="text1"/>
          <w:kern w:val="0"/>
          <w:sz w:val="32"/>
          <w:szCs w:val="32"/>
          <w:lang w:val="en-US" w:eastAsia="zh-CN"/>
        </w:rPr>
        <w:t>含铁固废（废钢、废铁头、废轧辊、废备品备件等</w:t>
      </w:r>
      <w:r>
        <w:rPr>
          <w:rFonts w:hint="eastAsia" w:ascii="方正仿宋_GBK" w:hAnsi="宋体" w:eastAsia="方正仿宋_GBK"/>
          <w:bCs/>
          <w:color w:val="000000" w:themeColor="text1"/>
          <w:kern w:val="0"/>
          <w:sz w:val="32"/>
          <w:szCs w:val="32"/>
          <w:lang w:eastAsia="zh-CN"/>
        </w:rPr>
        <w:t>）</w:t>
      </w:r>
      <w:r>
        <w:rPr>
          <w:rFonts w:hint="eastAsia" w:ascii="方正仿宋_GBK" w:hAnsi="宋体" w:eastAsia="方正仿宋_GBK"/>
          <w:bCs/>
          <w:color w:val="000000" w:themeColor="text1"/>
          <w:kern w:val="0"/>
          <w:sz w:val="32"/>
          <w:szCs w:val="32"/>
        </w:rPr>
        <w:t>全部作为炼钢生产线原料；氧化铁皮</w:t>
      </w:r>
      <w:r>
        <w:rPr>
          <w:rFonts w:hint="eastAsia" w:ascii="方正仿宋_GBK" w:hAnsi="宋体" w:eastAsia="方正仿宋_GBK"/>
          <w:bCs/>
          <w:color w:val="000000" w:themeColor="text1"/>
          <w:kern w:val="0"/>
          <w:sz w:val="32"/>
          <w:szCs w:val="32"/>
          <w:lang w:val="en-US" w:eastAsia="zh-CN"/>
        </w:rPr>
        <w:t>收集</w:t>
      </w:r>
      <w:r>
        <w:rPr>
          <w:rFonts w:hint="eastAsia" w:ascii="方正仿宋_GBK" w:hAnsi="宋体" w:eastAsia="方正仿宋_GBK"/>
          <w:bCs/>
          <w:color w:val="000000" w:themeColor="text1"/>
          <w:kern w:val="0"/>
          <w:sz w:val="32"/>
          <w:szCs w:val="32"/>
        </w:rPr>
        <w:t>滤干后送至烧结车间回收利用；一体化浊循环水净化</w:t>
      </w:r>
      <w:r>
        <w:rPr>
          <w:rFonts w:hint="eastAsia" w:ascii="方正仿宋_GBK" w:hAnsi="宋体" w:eastAsia="方正仿宋_GBK"/>
          <w:bCs/>
          <w:color w:val="000000" w:themeColor="text1"/>
          <w:kern w:val="0"/>
          <w:sz w:val="32"/>
          <w:szCs w:val="32"/>
          <w:lang w:val="en-US" w:eastAsia="zh-CN"/>
        </w:rPr>
        <w:t>处理设施污</w:t>
      </w:r>
      <w:r>
        <w:rPr>
          <w:rFonts w:hint="eastAsia" w:ascii="方正仿宋_GBK" w:hAnsi="宋体" w:eastAsia="方正仿宋_GBK"/>
          <w:bCs/>
          <w:color w:val="000000" w:themeColor="text1"/>
          <w:kern w:val="0"/>
          <w:sz w:val="32"/>
          <w:szCs w:val="32"/>
        </w:rPr>
        <w:t>泥</w:t>
      </w:r>
      <w:r>
        <w:rPr>
          <w:rFonts w:hint="eastAsia" w:ascii="方正仿宋_GBK" w:hAnsi="宋体" w:eastAsia="方正仿宋_GBK"/>
          <w:bCs/>
          <w:color w:val="000000" w:themeColor="text1"/>
          <w:kern w:val="0"/>
          <w:sz w:val="32"/>
          <w:szCs w:val="32"/>
          <w:lang w:val="en-US" w:eastAsia="zh-CN"/>
        </w:rPr>
        <w:t>经压缩机脱水后</w:t>
      </w:r>
      <w:r>
        <w:rPr>
          <w:rFonts w:hint="eastAsia" w:ascii="方正仿宋_GBK" w:hAnsi="宋体" w:eastAsia="方正仿宋_GBK"/>
          <w:bCs/>
          <w:color w:val="000000" w:themeColor="text1"/>
          <w:kern w:val="0"/>
          <w:sz w:val="32"/>
          <w:szCs w:val="32"/>
        </w:rPr>
        <w:t>，与氧化铁皮一同经槽车直接运至烧结车间回收利用；</w:t>
      </w:r>
      <w:r>
        <w:rPr>
          <w:rFonts w:hint="eastAsia" w:ascii="方正仿宋_GBK" w:hAnsi="宋体" w:eastAsia="方正仿宋_GBK"/>
          <w:bCs/>
          <w:color w:val="000000" w:themeColor="text1"/>
          <w:kern w:val="0"/>
          <w:sz w:val="32"/>
          <w:szCs w:val="32"/>
          <w:lang w:val="en-US" w:eastAsia="zh-CN"/>
        </w:rPr>
        <w:t>生活垃圾收集后并入本公司生活垃圾统一处置。</w:t>
      </w:r>
      <w:r>
        <w:rPr>
          <w:rFonts w:hint="eastAsia" w:ascii="方正仿宋_GBK" w:hAnsi="宋体" w:eastAsia="方正仿宋_GBK"/>
          <w:bCs/>
          <w:color w:val="000000" w:themeColor="text1"/>
          <w:kern w:val="0"/>
          <w:sz w:val="32"/>
          <w:szCs w:val="32"/>
        </w:rPr>
        <w:t>建设符合《危险废物贮存污染控制标准》（GB18597—2001）的危废暂存间，浊循环水净化</w:t>
      </w:r>
      <w:r>
        <w:rPr>
          <w:rFonts w:hint="eastAsia" w:ascii="方正仿宋_GBK" w:hAnsi="宋体" w:eastAsia="方正仿宋_GBK"/>
          <w:bCs/>
          <w:color w:val="000000" w:themeColor="text1"/>
          <w:kern w:val="0"/>
          <w:sz w:val="32"/>
          <w:szCs w:val="32"/>
          <w:lang w:val="en-US" w:eastAsia="zh-CN"/>
        </w:rPr>
        <w:t>处理产生的</w:t>
      </w:r>
      <w:r>
        <w:rPr>
          <w:rFonts w:hint="eastAsia" w:ascii="方正仿宋_GBK" w:hAnsi="宋体" w:eastAsia="方正仿宋_GBK"/>
          <w:bCs/>
          <w:color w:val="000000" w:themeColor="text1"/>
          <w:kern w:val="0"/>
          <w:sz w:val="32"/>
          <w:szCs w:val="32"/>
        </w:rPr>
        <w:t>废油</w:t>
      </w:r>
      <w:r>
        <w:rPr>
          <w:rFonts w:hint="eastAsia" w:ascii="方正仿宋_GBK" w:hAnsi="宋体" w:eastAsia="方正仿宋_GBK"/>
          <w:bCs/>
          <w:color w:val="000000" w:themeColor="text1"/>
          <w:kern w:val="0"/>
          <w:sz w:val="32"/>
          <w:szCs w:val="32"/>
          <w:lang w:eastAsia="zh-CN"/>
        </w:rPr>
        <w:t>、</w:t>
      </w:r>
      <w:r>
        <w:rPr>
          <w:rFonts w:hint="eastAsia" w:ascii="方正仿宋_GBK" w:hAnsi="宋体" w:eastAsia="方正仿宋_GBK"/>
          <w:bCs/>
          <w:color w:val="000000" w:themeColor="text1"/>
          <w:kern w:val="0"/>
          <w:sz w:val="32"/>
          <w:szCs w:val="32"/>
          <w:lang w:val="en-US" w:eastAsia="zh-CN"/>
        </w:rPr>
        <w:t>设备检修机修产生的废液压油及润滑油、定期更换</w:t>
      </w:r>
      <w:r>
        <w:rPr>
          <w:rFonts w:hint="eastAsia" w:ascii="方正仿宋_GBK" w:hAnsi="宋体" w:eastAsia="方正仿宋_GBK"/>
          <w:bCs/>
          <w:color w:val="000000" w:themeColor="text1"/>
          <w:kern w:val="0"/>
          <w:sz w:val="32"/>
          <w:szCs w:val="32"/>
        </w:rPr>
        <w:t>加热炉保温罩</w:t>
      </w:r>
      <w:r>
        <w:rPr>
          <w:rFonts w:hint="eastAsia" w:ascii="方正仿宋_GBK" w:hAnsi="宋体" w:eastAsia="方正仿宋_GBK"/>
          <w:bCs/>
          <w:color w:val="000000" w:themeColor="text1"/>
          <w:kern w:val="0"/>
          <w:sz w:val="32"/>
          <w:szCs w:val="32"/>
          <w:lang w:val="en-US" w:eastAsia="zh-CN"/>
        </w:rPr>
        <w:t>产生的</w:t>
      </w:r>
      <w:r>
        <w:rPr>
          <w:rFonts w:hint="eastAsia" w:ascii="方正仿宋_GBK" w:hAnsi="宋体" w:eastAsia="方正仿宋_GBK"/>
          <w:bCs/>
          <w:color w:val="000000" w:themeColor="text1"/>
          <w:kern w:val="0"/>
          <w:sz w:val="32"/>
          <w:szCs w:val="32"/>
        </w:rPr>
        <w:t>废保温材料（</w:t>
      </w:r>
      <w:r>
        <w:rPr>
          <w:rFonts w:hint="eastAsia" w:ascii="方正仿宋_GBK" w:hAnsi="宋体" w:eastAsia="方正仿宋_GBK"/>
          <w:bCs/>
          <w:color w:val="000000" w:themeColor="text1"/>
          <w:kern w:val="0"/>
          <w:sz w:val="32"/>
          <w:szCs w:val="32"/>
          <w:lang w:val="en-US" w:eastAsia="zh-CN"/>
        </w:rPr>
        <w:t>废石棉材料</w:t>
      </w:r>
      <w:r>
        <w:rPr>
          <w:rFonts w:hint="eastAsia" w:ascii="方正仿宋_GBK" w:hAnsi="宋体" w:eastAsia="方正仿宋_GBK"/>
          <w:bCs/>
          <w:color w:val="000000" w:themeColor="text1"/>
          <w:kern w:val="0"/>
          <w:sz w:val="32"/>
          <w:szCs w:val="32"/>
        </w:rPr>
        <w:t>）等</w:t>
      </w:r>
      <w:r>
        <w:rPr>
          <w:rFonts w:hint="eastAsia" w:ascii="方正仿宋_GBK" w:hAnsi="宋体" w:eastAsia="方正仿宋_GBK"/>
          <w:bCs/>
          <w:color w:val="000000" w:themeColor="text1"/>
          <w:kern w:val="0"/>
          <w:sz w:val="32"/>
          <w:szCs w:val="32"/>
          <w:lang w:val="en-US" w:eastAsia="zh-CN"/>
        </w:rPr>
        <w:t>属于</w:t>
      </w:r>
      <w:r>
        <w:rPr>
          <w:rFonts w:hint="eastAsia" w:ascii="方正仿宋_GBK" w:hAnsi="宋体" w:eastAsia="方正仿宋_GBK"/>
          <w:bCs/>
          <w:color w:val="000000" w:themeColor="text1"/>
          <w:kern w:val="0"/>
          <w:sz w:val="32"/>
          <w:szCs w:val="32"/>
        </w:rPr>
        <w:t>危险废物</w:t>
      </w:r>
      <w:r>
        <w:rPr>
          <w:rFonts w:hint="eastAsia" w:ascii="方正仿宋_GBK" w:hAnsi="宋体" w:eastAsia="方正仿宋_GBK"/>
          <w:bCs/>
          <w:color w:val="000000" w:themeColor="text1"/>
          <w:kern w:val="0"/>
          <w:sz w:val="32"/>
          <w:szCs w:val="32"/>
          <w:lang w:eastAsia="zh-CN"/>
        </w:rPr>
        <w:t>，</w:t>
      </w:r>
      <w:r>
        <w:rPr>
          <w:rFonts w:hint="eastAsia" w:ascii="方正仿宋_GBK" w:hAnsi="宋体" w:eastAsia="方正仿宋_GBK"/>
          <w:bCs/>
          <w:color w:val="000000" w:themeColor="text1"/>
          <w:kern w:val="0"/>
          <w:sz w:val="32"/>
          <w:szCs w:val="32"/>
          <w:lang w:val="en-US" w:eastAsia="zh-CN"/>
        </w:rPr>
        <w:t>必须</w:t>
      </w:r>
      <w:r>
        <w:rPr>
          <w:rFonts w:hint="eastAsia" w:ascii="方正仿宋_GBK" w:hAnsi="宋体" w:eastAsia="方正仿宋_GBK"/>
          <w:bCs/>
          <w:color w:val="000000" w:themeColor="text1"/>
          <w:kern w:val="0"/>
          <w:sz w:val="32"/>
          <w:szCs w:val="32"/>
        </w:rPr>
        <w:t>严格按照国家危险废物管理的有关规定进行收集、贮存，并及时委托具有相应资质的单位安全处置或综合利用。</w:t>
      </w:r>
    </w:p>
    <w:p>
      <w:pPr>
        <w:spacing w:line="540" w:lineRule="exact"/>
        <w:ind w:firstLine="640" w:firstLineChars="200"/>
        <w:rPr>
          <w:rFonts w:hint="default" w:eastAsia="方正仿宋_GBK"/>
          <w:bCs/>
          <w:color w:val="000000"/>
          <w:kern w:val="0"/>
          <w:sz w:val="32"/>
          <w:szCs w:val="32"/>
          <w:lang w:val="en-US" w:eastAsia="zh-CN"/>
        </w:rPr>
      </w:pPr>
      <w:r>
        <w:rPr>
          <w:rFonts w:hint="eastAsia" w:ascii="方正仿宋_GBK" w:hAnsi="宋体" w:eastAsia="方正仿宋_GBK"/>
          <w:bCs/>
          <w:color w:val="000000" w:themeColor="text1"/>
          <w:kern w:val="0"/>
          <w:sz w:val="32"/>
          <w:szCs w:val="32"/>
        </w:rPr>
        <w:t>（七）严格落实厂区分区防渗措施。防渗工程建设须在监理部门的监理下进行，对防渗工程各工序进行现场施工监理、录像、记录并存档。重点防渗区域</w:t>
      </w:r>
      <w:r>
        <w:rPr>
          <w:rFonts w:hint="eastAsia" w:ascii="方正仿宋_GBK" w:hAnsi="宋体" w:eastAsia="方正仿宋_GBK"/>
          <w:bCs/>
          <w:color w:val="000000" w:themeColor="text1"/>
          <w:kern w:val="0"/>
          <w:sz w:val="32"/>
          <w:szCs w:val="32"/>
          <w:lang w:eastAsia="zh-CN"/>
        </w:rPr>
        <w:t>：</w:t>
      </w:r>
      <w:r>
        <w:rPr>
          <w:rFonts w:hint="eastAsia" w:ascii="方正仿宋_GBK" w:hAnsi="宋体" w:eastAsia="方正仿宋_GBK"/>
          <w:bCs/>
          <w:color w:val="000000" w:themeColor="text1"/>
          <w:kern w:val="0"/>
          <w:sz w:val="32"/>
          <w:szCs w:val="32"/>
        </w:rPr>
        <w:t>危险废物暂存间</w:t>
      </w:r>
      <w:r>
        <w:rPr>
          <w:rFonts w:hint="eastAsia" w:ascii="方正仿宋_GBK" w:hAnsi="宋体" w:eastAsia="方正仿宋_GBK"/>
          <w:bCs/>
          <w:color w:val="000000" w:themeColor="text1"/>
          <w:kern w:val="0"/>
          <w:sz w:val="32"/>
          <w:szCs w:val="32"/>
          <w:lang w:eastAsia="zh-CN"/>
        </w:rPr>
        <w:t>，</w:t>
      </w:r>
      <w:r>
        <w:rPr>
          <w:rFonts w:hint="eastAsia" w:ascii="方正仿宋_GBK" w:hAnsi="宋体" w:eastAsia="方正仿宋_GBK"/>
          <w:bCs/>
          <w:color w:val="000000" w:themeColor="text1"/>
          <w:kern w:val="0"/>
          <w:sz w:val="32"/>
          <w:szCs w:val="32"/>
        </w:rPr>
        <w:t>按照等效粘土防渗层Mb≥6.0</w:t>
      </w:r>
      <w:r>
        <w:rPr>
          <w:rFonts w:hint="eastAsia" w:ascii="方正仿宋_GBK" w:hAnsi="宋体" w:eastAsia="方正仿宋_GBK"/>
          <w:bCs/>
          <w:color w:val="000000" w:themeColor="text1"/>
          <w:kern w:val="0"/>
          <w:sz w:val="32"/>
          <w:szCs w:val="32"/>
          <w:lang w:val="en-US" w:eastAsia="zh-CN"/>
        </w:rPr>
        <w:t>m</w:t>
      </w:r>
      <w:r>
        <w:rPr>
          <w:rFonts w:hint="eastAsia" w:ascii="方正仿宋_GBK" w:hAnsi="宋体" w:eastAsia="方正仿宋_GBK"/>
          <w:bCs/>
          <w:color w:val="000000" w:themeColor="text1"/>
          <w:kern w:val="0"/>
          <w:sz w:val="32"/>
          <w:szCs w:val="32"/>
        </w:rPr>
        <w:t>，渗透系数K≤1.0×10-7</w:t>
      </w:r>
      <w:r>
        <w:rPr>
          <w:rFonts w:hint="eastAsia" w:ascii="方正仿宋_GBK" w:hAnsi="宋体" w:eastAsia="方正仿宋_GBK"/>
          <w:bCs/>
          <w:color w:val="000000" w:themeColor="text1"/>
          <w:kern w:val="0"/>
          <w:sz w:val="32"/>
          <w:szCs w:val="32"/>
          <w:lang w:val="en-US" w:eastAsia="zh-CN"/>
        </w:rPr>
        <w:t>cm</w:t>
      </w:r>
      <w:r>
        <w:rPr>
          <w:rFonts w:hint="eastAsia" w:ascii="方正仿宋_GBK" w:hAnsi="宋体" w:eastAsia="方正仿宋_GBK"/>
          <w:bCs/>
          <w:color w:val="000000" w:themeColor="text1"/>
          <w:kern w:val="0"/>
          <w:sz w:val="32"/>
          <w:szCs w:val="32"/>
        </w:rPr>
        <w:t>/</w:t>
      </w:r>
      <w:r>
        <w:rPr>
          <w:rFonts w:hint="eastAsia" w:ascii="方正仿宋_GBK" w:hAnsi="宋体" w:eastAsia="方正仿宋_GBK"/>
          <w:bCs/>
          <w:color w:val="000000" w:themeColor="text1"/>
          <w:kern w:val="0"/>
          <w:sz w:val="32"/>
          <w:szCs w:val="32"/>
          <w:lang w:val="en-US" w:eastAsia="zh-CN"/>
        </w:rPr>
        <w:t>s</w:t>
      </w:r>
      <w:r>
        <w:rPr>
          <w:rFonts w:hint="eastAsia" w:ascii="方正仿宋_GBK" w:hAnsi="宋体" w:eastAsia="方正仿宋_GBK"/>
          <w:bCs/>
          <w:color w:val="000000" w:themeColor="text1"/>
          <w:kern w:val="0"/>
          <w:sz w:val="32"/>
          <w:szCs w:val="32"/>
        </w:rPr>
        <w:t>的技术要求进行防渗处理；</w:t>
      </w:r>
      <w:r>
        <w:rPr>
          <w:rFonts w:hint="eastAsia" w:ascii="方正仿宋_GBK" w:hAnsi="宋体" w:eastAsia="方正仿宋_GBK"/>
          <w:bCs/>
          <w:color w:val="000000" w:themeColor="text1"/>
          <w:kern w:val="0"/>
          <w:sz w:val="32"/>
          <w:szCs w:val="32"/>
          <w:lang w:val="en-US" w:eastAsia="zh-CN"/>
        </w:rPr>
        <w:t>一般防渗区：</w:t>
      </w:r>
      <w:r>
        <w:rPr>
          <w:rFonts w:hint="eastAsia" w:ascii="方正仿宋_GBK" w:hAnsi="宋体" w:eastAsia="方正仿宋_GBK"/>
          <w:bCs/>
          <w:color w:val="000000" w:themeColor="text1"/>
          <w:kern w:val="0"/>
          <w:sz w:val="32"/>
          <w:szCs w:val="32"/>
        </w:rPr>
        <w:t>主厂房、旋流沉淀池、一体化浊水净化</w:t>
      </w:r>
      <w:r>
        <w:rPr>
          <w:rFonts w:hint="eastAsia" w:ascii="方正仿宋_GBK" w:hAnsi="宋体" w:eastAsia="方正仿宋_GBK"/>
          <w:bCs/>
          <w:color w:val="000000" w:themeColor="text1"/>
          <w:kern w:val="0"/>
          <w:sz w:val="32"/>
          <w:szCs w:val="32"/>
          <w:lang w:val="en-US" w:eastAsia="zh-CN"/>
        </w:rPr>
        <w:t>处理设施</w:t>
      </w:r>
      <w:r>
        <w:rPr>
          <w:rFonts w:hint="eastAsia" w:ascii="方正仿宋_GBK" w:hAnsi="宋体" w:eastAsia="方正仿宋_GBK"/>
          <w:bCs/>
          <w:color w:val="000000" w:themeColor="text1"/>
          <w:kern w:val="0"/>
          <w:sz w:val="32"/>
          <w:szCs w:val="32"/>
        </w:rPr>
        <w:t>等</w:t>
      </w:r>
      <w:r>
        <w:rPr>
          <w:rFonts w:hint="eastAsia" w:ascii="方正仿宋_GBK" w:hAnsi="宋体" w:eastAsia="方正仿宋_GBK"/>
          <w:bCs/>
          <w:color w:val="000000" w:themeColor="text1"/>
          <w:kern w:val="0"/>
          <w:sz w:val="32"/>
          <w:szCs w:val="32"/>
          <w:lang w:eastAsia="zh-CN"/>
        </w:rPr>
        <w:t>，</w:t>
      </w:r>
      <w:r>
        <w:rPr>
          <w:rFonts w:hint="eastAsia" w:ascii="方正仿宋_GBK" w:hAnsi="宋体" w:eastAsia="方正仿宋_GBK"/>
          <w:bCs/>
          <w:color w:val="000000" w:themeColor="text1"/>
          <w:kern w:val="0"/>
          <w:sz w:val="32"/>
          <w:szCs w:val="32"/>
        </w:rPr>
        <w:t>按照等效粘土防渗层Mb≥1.5</w:t>
      </w:r>
      <w:r>
        <w:rPr>
          <w:rFonts w:hint="eastAsia" w:ascii="方正仿宋_GBK" w:hAnsi="宋体" w:eastAsia="方正仿宋_GBK"/>
          <w:bCs/>
          <w:color w:val="000000" w:themeColor="text1"/>
          <w:kern w:val="0"/>
          <w:sz w:val="32"/>
          <w:szCs w:val="32"/>
          <w:lang w:val="en-US" w:eastAsia="zh-CN"/>
        </w:rPr>
        <w:t>m</w:t>
      </w:r>
      <w:r>
        <w:rPr>
          <w:rFonts w:hint="eastAsia" w:ascii="方正仿宋_GBK" w:hAnsi="宋体" w:eastAsia="方正仿宋_GBK"/>
          <w:bCs/>
          <w:color w:val="000000" w:themeColor="text1"/>
          <w:kern w:val="0"/>
          <w:sz w:val="32"/>
          <w:szCs w:val="32"/>
        </w:rPr>
        <w:t>，渗透系数K≤1.0×10-7</w:t>
      </w:r>
      <w:r>
        <w:rPr>
          <w:rFonts w:hint="eastAsia" w:ascii="方正仿宋_GBK" w:hAnsi="宋体" w:eastAsia="方正仿宋_GBK"/>
          <w:bCs/>
          <w:color w:val="000000" w:themeColor="text1"/>
          <w:kern w:val="0"/>
          <w:sz w:val="32"/>
          <w:szCs w:val="32"/>
          <w:lang w:val="en-US" w:eastAsia="zh-CN"/>
        </w:rPr>
        <w:t>cm</w:t>
      </w:r>
      <w:r>
        <w:rPr>
          <w:rFonts w:hint="eastAsia" w:ascii="方正仿宋_GBK" w:hAnsi="宋体" w:eastAsia="方正仿宋_GBK"/>
          <w:bCs/>
          <w:color w:val="000000" w:themeColor="text1"/>
          <w:kern w:val="0"/>
          <w:sz w:val="32"/>
          <w:szCs w:val="32"/>
        </w:rPr>
        <w:t>/</w:t>
      </w:r>
      <w:r>
        <w:rPr>
          <w:rFonts w:hint="eastAsia" w:ascii="方正仿宋_GBK" w:hAnsi="宋体" w:eastAsia="方正仿宋_GBK"/>
          <w:bCs/>
          <w:color w:val="000000" w:themeColor="text1"/>
          <w:kern w:val="0"/>
          <w:sz w:val="32"/>
          <w:szCs w:val="32"/>
          <w:lang w:val="en-US" w:eastAsia="zh-CN"/>
        </w:rPr>
        <w:t>s</w:t>
      </w:r>
      <w:r>
        <w:rPr>
          <w:rFonts w:hint="eastAsia" w:ascii="方正仿宋_GBK" w:hAnsi="宋体" w:eastAsia="方正仿宋_GBK"/>
          <w:bCs/>
          <w:color w:val="000000" w:themeColor="text1"/>
          <w:kern w:val="0"/>
          <w:sz w:val="32"/>
          <w:szCs w:val="32"/>
        </w:rPr>
        <w:t>的技术要求进行防渗处理。按规范</w:t>
      </w:r>
      <w:r>
        <w:rPr>
          <w:rFonts w:hint="eastAsia" w:ascii="方正仿宋_GBK" w:hAnsi="宋体" w:eastAsia="方正仿宋_GBK"/>
          <w:bCs/>
          <w:color w:val="000000" w:themeColor="text1"/>
          <w:kern w:val="0"/>
          <w:sz w:val="32"/>
          <w:szCs w:val="32"/>
          <w:lang w:val="en-US" w:eastAsia="zh-CN"/>
        </w:rPr>
        <w:t>要求</w:t>
      </w:r>
      <w:r>
        <w:rPr>
          <w:rFonts w:hint="eastAsia" w:ascii="方正仿宋_GBK" w:hAnsi="宋体" w:eastAsia="方正仿宋_GBK"/>
          <w:bCs/>
          <w:color w:val="000000" w:themeColor="text1"/>
          <w:kern w:val="0"/>
          <w:sz w:val="32"/>
          <w:szCs w:val="32"/>
        </w:rPr>
        <w:t>设置地下水跟踪监测井</w:t>
      </w:r>
      <w:r>
        <w:rPr>
          <w:rFonts w:hint="eastAsia" w:ascii="方正仿宋_GBK" w:hAnsi="宋体" w:eastAsia="方正仿宋_GBK"/>
          <w:bCs/>
          <w:color w:val="000000" w:themeColor="text1"/>
          <w:kern w:val="0"/>
          <w:sz w:val="32"/>
          <w:szCs w:val="32"/>
          <w:lang w:eastAsia="zh-CN"/>
        </w:rPr>
        <w:t>，</w:t>
      </w:r>
      <w:r>
        <w:rPr>
          <w:rFonts w:hint="eastAsia" w:ascii="方正仿宋_GBK" w:hAnsi="宋体" w:eastAsia="方正仿宋_GBK"/>
          <w:bCs/>
          <w:color w:val="000000" w:themeColor="text1"/>
          <w:kern w:val="0"/>
          <w:sz w:val="32"/>
          <w:szCs w:val="32"/>
          <w:lang w:val="en-US" w:eastAsia="zh-CN"/>
        </w:rPr>
        <w:t>制定地下水跟踪监测计划，定期对地下水进行监测，发现异常情况，及时查明原因，并采取措施确保环境安全。</w:t>
      </w:r>
    </w:p>
    <w:p>
      <w:pPr>
        <w:spacing w:line="540" w:lineRule="exact"/>
        <w:ind w:firstLine="640" w:firstLineChars="200"/>
        <w:rPr>
          <w:rFonts w:hint="eastAsia" w:ascii="方正仿宋_GBK" w:hAnsi="宋体" w:eastAsia="方正仿宋_GBK"/>
          <w:bCs/>
          <w:color w:val="000000" w:themeColor="text1"/>
          <w:kern w:val="0"/>
          <w:sz w:val="32"/>
          <w:szCs w:val="32"/>
        </w:rPr>
      </w:pPr>
      <w:r>
        <w:rPr>
          <w:rFonts w:hint="eastAsia" w:ascii="方正仿宋_GBK" w:hAnsi="宋体" w:eastAsia="方正仿宋_GBK"/>
          <w:bCs/>
          <w:color w:val="000000" w:themeColor="text1"/>
          <w:kern w:val="0"/>
          <w:sz w:val="32"/>
          <w:szCs w:val="32"/>
        </w:rPr>
        <w:t>（八）规范排污口设置和标识。按照《排污口规范化整治技术要求（试行）》规范设置各类排污口，并按要求标识。</w:t>
      </w:r>
    </w:p>
    <w:p>
      <w:pPr>
        <w:spacing w:line="540" w:lineRule="exact"/>
        <w:ind w:firstLine="640" w:firstLineChars="200"/>
        <w:rPr>
          <w:rFonts w:hint="eastAsia" w:ascii="方正仿宋_GBK" w:hAnsi="宋体" w:eastAsia="方正仿宋_GBK"/>
          <w:bCs/>
          <w:color w:val="000000" w:themeColor="text1"/>
          <w:kern w:val="0"/>
          <w:sz w:val="32"/>
          <w:szCs w:val="32"/>
        </w:rPr>
      </w:pPr>
      <w:r>
        <w:rPr>
          <w:rFonts w:hint="eastAsia" w:ascii="方正仿宋_GBK" w:hAnsi="宋体" w:eastAsia="方正仿宋_GBK"/>
          <w:bCs/>
          <w:color w:val="000000" w:themeColor="text1"/>
          <w:kern w:val="0"/>
          <w:sz w:val="32"/>
          <w:szCs w:val="32"/>
        </w:rPr>
        <w:t>（</w:t>
      </w:r>
      <w:r>
        <w:rPr>
          <w:rFonts w:hint="eastAsia" w:ascii="方正仿宋_GBK" w:hAnsi="宋体" w:eastAsia="方正仿宋_GBK"/>
          <w:bCs/>
          <w:color w:val="000000" w:themeColor="text1"/>
          <w:kern w:val="0"/>
          <w:sz w:val="32"/>
          <w:szCs w:val="32"/>
          <w:lang w:val="en-US" w:eastAsia="zh-CN"/>
        </w:rPr>
        <w:t>九</w:t>
      </w:r>
      <w:r>
        <w:rPr>
          <w:rFonts w:hint="eastAsia" w:ascii="方正仿宋_GBK" w:hAnsi="宋体" w:eastAsia="方正仿宋_GBK"/>
          <w:bCs/>
          <w:color w:val="000000" w:themeColor="text1"/>
          <w:kern w:val="0"/>
          <w:sz w:val="32"/>
          <w:szCs w:val="32"/>
        </w:rPr>
        <w:t>）按照《报告</w:t>
      </w:r>
      <w:r>
        <w:rPr>
          <w:rFonts w:hint="eastAsia" w:ascii="方正仿宋_GBK" w:hAnsi="宋体" w:eastAsia="方正仿宋_GBK"/>
          <w:bCs/>
          <w:color w:val="000000" w:themeColor="text1"/>
          <w:kern w:val="0"/>
          <w:sz w:val="32"/>
          <w:szCs w:val="32"/>
          <w:lang w:val="en-US" w:eastAsia="zh-CN"/>
        </w:rPr>
        <w:t>表</w:t>
      </w:r>
      <w:r>
        <w:rPr>
          <w:rFonts w:hint="eastAsia" w:ascii="方正仿宋_GBK" w:hAnsi="宋体" w:eastAsia="方正仿宋_GBK"/>
          <w:bCs/>
          <w:color w:val="000000" w:themeColor="text1"/>
          <w:kern w:val="0"/>
          <w:sz w:val="32"/>
          <w:szCs w:val="32"/>
        </w:rPr>
        <w:t>》中的环境监测计划以及相关标准和技术规范要求，制定项目污染物排放自行监测方案，并认真组织实施，发现异常立即停产，及时查明原因，采取有效控制措施并向生态环境行政主管部门报告。</w:t>
      </w:r>
      <w:r>
        <w:rPr>
          <w:rFonts w:hint="eastAsia" w:ascii="方正仿宋_GBK" w:hAnsi="宋体" w:eastAsia="方正仿宋_GBK"/>
          <w:bCs/>
          <w:color w:val="000000" w:themeColor="text1"/>
          <w:kern w:val="0"/>
          <w:sz w:val="32"/>
          <w:szCs w:val="32"/>
          <w:lang w:val="en-US" w:eastAsia="zh-CN"/>
        </w:rPr>
        <w:t>热处理炉空烟烟囱和煤烟烟囱</w:t>
      </w:r>
      <w:r>
        <w:rPr>
          <w:rFonts w:hint="eastAsia" w:ascii="方正仿宋_GBK" w:hAnsi="宋体" w:eastAsia="方正仿宋_GBK"/>
          <w:bCs/>
          <w:color w:val="000000" w:themeColor="text1"/>
          <w:kern w:val="0"/>
          <w:sz w:val="32"/>
          <w:szCs w:val="32"/>
        </w:rPr>
        <w:t>排放口应安装颗粒物、氮氧化物、二氧化硫</w:t>
      </w:r>
      <w:r>
        <w:rPr>
          <w:rFonts w:hint="eastAsia" w:ascii="方正仿宋_GBK" w:hAnsi="宋体" w:eastAsia="方正仿宋_GBK"/>
          <w:bCs/>
          <w:color w:val="000000" w:themeColor="text1"/>
          <w:kern w:val="0"/>
          <w:sz w:val="32"/>
          <w:szCs w:val="32"/>
          <w:lang w:val="en-US" w:eastAsia="zh-CN"/>
        </w:rPr>
        <w:t>在线</w:t>
      </w:r>
      <w:r>
        <w:rPr>
          <w:rFonts w:hint="eastAsia" w:ascii="方正仿宋_GBK" w:hAnsi="宋体" w:eastAsia="方正仿宋_GBK"/>
          <w:bCs/>
          <w:color w:val="000000" w:themeColor="text1"/>
          <w:kern w:val="0"/>
          <w:sz w:val="32"/>
          <w:szCs w:val="32"/>
        </w:rPr>
        <w:t>自动监</w:t>
      </w:r>
      <w:r>
        <w:rPr>
          <w:rFonts w:hint="eastAsia" w:ascii="方正仿宋_GBK" w:hAnsi="宋体" w:eastAsia="方正仿宋_GBK"/>
          <w:bCs/>
          <w:color w:val="000000" w:themeColor="text1"/>
          <w:kern w:val="0"/>
          <w:sz w:val="32"/>
          <w:szCs w:val="32"/>
          <w:lang w:val="en-US" w:eastAsia="zh-CN"/>
        </w:rPr>
        <w:t>控系统</w:t>
      </w:r>
      <w:r>
        <w:rPr>
          <w:rFonts w:hint="eastAsia" w:ascii="方正仿宋_GBK" w:hAnsi="宋体" w:eastAsia="方正仿宋_GBK"/>
          <w:bCs/>
          <w:color w:val="000000" w:themeColor="text1"/>
          <w:kern w:val="0"/>
          <w:sz w:val="32"/>
          <w:szCs w:val="32"/>
        </w:rPr>
        <w:t>，并与生态环境行政主管部门监控中心联网运行。</w:t>
      </w:r>
    </w:p>
    <w:p>
      <w:pPr>
        <w:adjustRightInd w:val="0"/>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宋体" w:eastAsia="方正仿宋_GBK"/>
          <w:bCs/>
          <w:color w:val="000000" w:themeColor="text1"/>
          <w:kern w:val="0"/>
          <w:sz w:val="32"/>
          <w:szCs w:val="32"/>
          <w:lang w:eastAsia="zh-CN"/>
        </w:rPr>
        <w:t>（</w:t>
      </w:r>
      <w:r>
        <w:rPr>
          <w:rFonts w:hint="eastAsia" w:ascii="方正仿宋_GBK" w:hAnsi="宋体" w:eastAsia="方正仿宋_GBK"/>
          <w:bCs/>
          <w:color w:val="000000" w:themeColor="text1"/>
          <w:kern w:val="0"/>
          <w:sz w:val="32"/>
          <w:szCs w:val="32"/>
          <w:lang w:val="en-US" w:eastAsia="zh-CN"/>
        </w:rPr>
        <w:t>十</w:t>
      </w:r>
      <w:r>
        <w:rPr>
          <w:rFonts w:hint="eastAsia" w:ascii="方正仿宋_GBK" w:hAnsi="宋体" w:eastAsia="方正仿宋_GBK"/>
          <w:bCs/>
          <w:color w:val="000000" w:themeColor="text1"/>
          <w:kern w:val="0"/>
          <w:sz w:val="32"/>
          <w:szCs w:val="32"/>
          <w:lang w:eastAsia="zh-CN"/>
        </w:rPr>
        <w:t>）</w:t>
      </w:r>
      <w:r>
        <w:rPr>
          <w:rFonts w:hint="eastAsia" w:ascii="方正仿宋_GBK" w:hAnsi="宋体" w:eastAsia="方正仿宋_GBK"/>
          <w:bCs/>
          <w:color w:val="000000" w:themeColor="text1"/>
          <w:kern w:val="0"/>
          <w:sz w:val="32"/>
          <w:szCs w:val="32"/>
        </w:rPr>
        <w:t>严格落实《报告</w:t>
      </w:r>
      <w:r>
        <w:rPr>
          <w:rFonts w:hint="eastAsia" w:ascii="方正仿宋_GBK" w:hAnsi="宋体" w:eastAsia="方正仿宋_GBK"/>
          <w:bCs/>
          <w:color w:val="000000" w:themeColor="text1"/>
          <w:kern w:val="0"/>
          <w:sz w:val="32"/>
          <w:szCs w:val="32"/>
          <w:lang w:val="en-US" w:eastAsia="zh-CN"/>
        </w:rPr>
        <w:t>表</w:t>
      </w:r>
      <w:r>
        <w:rPr>
          <w:rFonts w:hint="eastAsia" w:ascii="方正仿宋_GBK" w:hAnsi="宋体" w:eastAsia="方正仿宋_GBK"/>
          <w:bCs/>
          <w:color w:val="000000" w:themeColor="text1"/>
          <w:kern w:val="0"/>
          <w:sz w:val="32"/>
          <w:szCs w:val="32"/>
        </w:rPr>
        <w:t>》中提出的环境风险防范对策措施，根据《关于印发〈企业事业单位突发环境事件应急预案备案管理办法（试行）〉的通知》（环发〔2015〕4号）要求，</w:t>
      </w:r>
      <w:r>
        <w:rPr>
          <w:rFonts w:hint="eastAsia" w:ascii="方正仿宋_GBK" w:hAnsi="宋体" w:eastAsia="方正仿宋_GBK"/>
          <w:bCs/>
          <w:color w:val="000000" w:themeColor="text1"/>
          <w:kern w:val="0"/>
          <w:sz w:val="32"/>
          <w:szCs w:val="32"/>
          <w:lang w:val="en-US" w:eastAsia="zh-CN"/>
        </w:rPr>
        <w:t>修订完善本公司</w:t>
      </w:r>
      <w:r>
        <w:rPr>
          <w:rFonts w:hint="eastAsia" w:ascii="方正仿宋_GBK" w:hAnsi="宋体" w:eastAsia="方正仿宋_GBK"/>
          <w:bCs/>
          <w:color w:val="000000" w:themeColor="text1"/>
          <w:kern w:val="0"/>
          <w:sz w:val="32"/>
          <w:szCs w:val="32"/>
        </w:rPr>
        <w:t>突发环境事件应急预案报生态环境行政主管部门备案。</w:t>
      </w:r>
    </w:p>
    <w:p>
      <w:pPr>
        <w:adjustRightInd w:val="0"/>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四、项目实施中如发生重大变更，以及环境保护措施与批复方案发生变化或自批准之日起超过5年方开工建设，须按有关规定重新报我局审核环评文件。</w:t>
      </w:r>
    </w:p>
    <w:p>
      <w:pPr>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公司作为项目的责任单位，必须严格执行工程建设的环境保护“三同时”制度，认真落实各项环保要求，主动向社会公开建设项目环境影响评价文件、污染防治设施建设运行情况、污染物排放情况</w:t>
      </w:r>
      <w:r>
        <w:rPr>
          <w:rFonts w:hint="eastAsia" w:ascii="方正仿宋_GBK" w:hAnsi="方正仿宋_GBK" w:eastAsia="方正仿宋_GBK" w:cs="方正仿宋_GBK"/>
          <w:bCs/>
          <w:kern w:val="0"/>
          <w:sz w:val="32"/>
          <w:szCs w:val="32"/>
          <w:lang w:eastAsia="zh-CN"/>
        </w:rPr>
        <w:t>、</w:t>
      </w:r>
      <w:r>
        <w:rPr>
          <w:rFonts w:hint="eastAsia" w:ascii="方正仿宋_GBK" w:hAnsi="宋体" w:eastAsia="方正仿宋_GBK"/>
          <w:bCs/>
          <w:color w:val="000000" w:themeColor="text1"/>
          <w:kern w:val="0"/>
          <w:sz w:val="32"/>
          <w:szCs w:val="32"/>
        </w:rPr>
        <w:t>突发环境事件应急预案</w:t>
      </w:r>
      <w:r>
        <w:rPr>
          <w:rFonts w:hint="eastAsia" w:ascii="方正仿宋_GBK" w:hAnsi="方正仿宋_GBK" w:eastAsia="方正仿宋_GBK" w:cs="方正仿宋_GBK"/>
          <w:bCs/>
          <w:kern w:val="0"/>
          <w:sz w:val="32"/>
          <w:szCs w:val="32"/>
        </w:rPr>
        <w:t>等环境信息。</w:t>
      </w:r>
    </w:p>
    <w:p>
      <w:pPr>
        <w:snapToGrid w:val="0"/>
        <w:spacing w:line="54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六、项目投产试运行后，及时按《建设项目环境保护管理条例》《建设项目竣工环境保护验收暂行办法》的</w:t>
      </w:r>
      <w:r>
        <w:rPr>
          <w:rFonts w:hint="eastAsia" w:ascii="方正仿宋_GBK" w:hAnsi="方正仿宋_GBK" w:eastAsia="方正仿宋_GBK" w:cs="方正仿宋_GBK"/>
          <w:bCs/>
          <w:kern w:val="0"/>
          <w:sz w:val="32"/>
          <w:szCs w:val="32"/>
          <w:lang w:val="en-US" w:eastAsia="zh-CN"/>
        </w:rPr>
        <w:t>要求</w:t>
      </w:r>
      <w:r>
        <w:rPr>
          <w:rFonts w:hint="eastAsia" w:ascii="方正仿宋_GBK" w:hAnsi="方正仿宋_GBK" w:eastAsia="方正仿宋_GBK" w:cs="方正仿宋_GBK"/>
          <w:bCs/>
          <w:kern w:val="0"/>
          <w:sz w:val="32"/>
          <w:szCs w:val="32"/>
        </w:rPr>
        <w:t>自行组织开展竣工环保验收，并依法向社会公开验收报告。经验收合格后方可正式投入运行。</w:t>
      </w:r>
    </w:p>
    <w:p>
      <w:pPr>
        <w:snapToGri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新平县生态环境保护综合行政执法大队负责该项目的环境执法监督检查，并提交“三同时”监察报告。</w:t>
      </w:r>
    </w:p>
    <w:p>
      <w:pPr>
        <w:snapToGrid w:val="0"/>
        <w:spacing w:line="54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napToGrid w:val="0"/>
        <w:spacing w:line="540" w:lineRule="exact"/>
        <w:jc w:val="center"/>
        <w:rPr>
          <w:rFonts w:ascii="方正仿宋_GBK" w:hAnsi="方正仿宋_GBK" w:eastAsia="方正仿宋_GBK" w:cs="方正仿宋_GBK"/>
          <w:sz w:val="32"/>
          <w:szCs w:val="32"/>
        </w:rPr>
      </w:pPr>
    </w:p>
    <w:p>
      <w:pPr>
        <w:snapToGrid w:val="0"/>
        <w:spacing w:line="54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napToGrid w:val="0"/>
        <w:spacing w:line="54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2021年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w:t>
      </w:r>
    </w:p>
    <w:p/>
    <w:p>
      <w:pPr>
        <w:rPr>
          <w:rFonts w:ascii="方正仿宋_GBK" w:eastAsia="方正仿宋_GBK"/>
          <w:sz w:val="32"/>
          <w:szCs w:val="32"/>
        </w:rPr>
      </w:pPr>
      <w:bookmarkStart w:id="0" w:name="_GoBack"/>
      <w:bookmarkEnd w:id="0"/>
    </w:p>
    <w:sectPr>
      <w:headerReference r:id="rId3" w:type="default"/>
      <w:footerReference r:id="rId4" w:type="default"/>
      <w:footerReference r:id="rId5" w:type="even"/>
      <w:pgSz w:w="11906" w:h="16838"/>
      <w:pgMar w:top="1814" w:right="1474"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049" o:spid="_x0000_s3073" o:spt="202" type="#_x0000_t202" style="position:absolute;left:0pt;margin-top:0pt;height:20.45pt;width:65.8pt;mso-position-horizontal:outside;mso-position-horizontal-relative:margin;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5"/>
      </w:rPr>
    </w:pPr>
    <w:r>
      <w:fldChar w:fldCharType="begin"/>
    </w:r>
    <w:r>
      <w:rPr>
        <w:rStyle w:val="15"/>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2A22"/>
    <w:rsid w:val="00003289"/>
    <w:rsid w:val="00004636"/>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436E7"/>
    <w:rsid w:val="0005030A"/>
    <w:rsid w:val="00051C2E"/>
    <w:rsid w:val="0005272D"/>
    <w:rsid w:val="00053B15"/>
    <w:rsid w:val="000563B7"/>
    <w:rsid w:val="0005703E"/>
    <w:rsid w:val="00057B2F"/>
    <w:rsid w:val="000615C7"/>
    <w:rsid w:val="00063AA4"/>
    <w:rsid w:val="00063B0F"/>
    <w:rsid w:val="00066E87"/>
    <w:rsid w:val="00075739"/>
    <w:rsid w:val="00076555"/>
    <w:rsid w:val="00081CE2"/>
    <w:rsid w:val="00081D74"/>
    <w:rsid w:val="000825FA"/>
    <w:rsid w:val="00083D93"/>
    <w:rsid w:val="000851AA"/>
    <w:rsid w:val="000905D4"/>
    <w:rsid w:val="0009095C"/>
    <w:rsid w:val="00097786"/>
    <w:rsid w:val="000A0449"/>
    <w:rsid w:val="000A0F43"/>
    <w:rsid w:val="000B24E2"/>
    <w:rsid w:val="000B2F7F"/>
    <w:rsid w:val="000B39EB"/>
    <w:rsid w:val="000B4FDA"/>
    <w:rsid w:val="000C09E2"/>
    <w:rsid w:val="000C53D1"/>
    <w:rsid w:val="000C63EA"/>
    <w:rsid w:val="000C6C36"/>
    <w:rsid w:val="000C7370"/>
    <w:rsid w:val="000D0532"/>
    <w:rsid w:val="000D1042"/>
    <w:rsid w:val="000D2645"/>
    <w:rsid w:val="000D7F77"/>
    <w:rsid w:val="000E1E3D"/>
    <w:rsid w:val="000E2436"/>
    <w:rsid w:val="000E35C5"/>
    <w:rsid w:val="000E677F"/>
    <w:rsid w:val="000E71EC"/>
    <w:rsid w:val="000F2272"/>
    <w:rsid w:val="000F2791"/>
    <w:rsid w:val="000F2C0C"/>
    <w:rsid w:val="000F2DC8"/>
    <w:rsid w:val="000F3763"/>
    <w:rsid w:val="000F51D1"/>
    <w:rsid w:val="000F6879"/>
    <w:rsid w:val="000F6947"/>
    <w:rsid w:val="000F7066"/>
    <w:rsid w:val="000F7C56"/>
    <w:rsid w:val="00102BC4"/>
    <w:rsid w:val="001037AE"/>
    <w:rsid w:val="00105444"/>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01A7"/>
    <w:rsid w:val="0013181D"/>
    <w:rsid w:val="0013302B"/>
    <w:rsid w:val="00137340"/>
    <w:rsid w:val="001418B3"/>
    <w:rsid w:val="0014226C"/>
    <w:rsid w:val="00143EDE"/>
    <w:rsid w:val="00144CAE"/>
    <w:rsid w:val="00153301"/>
    <w:rsid w:val="001536CE"/>
    <w:rsid w:val="00156B36"/>
    <w:rsid w:val="0016312A"/>
    <w:rsid w:val="00164A7F"/>
    <w:rsid w:val="00166954"/>
    <w:rsid w:val="0017367B"/>
    <w:rsid w:val="00173FEA"/>
    <w:rsid w:val="00174058"/>
    <w:rsid w:val="00175C49"/>
    <w:rsid w:val="00176C18"/>
    <w:rsid w:val="001777A6"/>
    <w:rsid w:val="0017785F"/>
    <w:rsid w:val="0018195B"/>
    <w:rsid w:val="001849CB"/>
    <w:rsid w:val="001853D7"/>
    <w:rsid w:val="001931D9"/>
    <w:rsid w:val="00193470"/>
    <w:rsid w:val="001964BF"/>
    <w:rsid w:val="001A275E"/>
    <w:rsid w:val="001B1216"/>
    <w:rsid w:val="001B13E7"/>
    <w:rsid w:val="001B2B62"/>
    <w:rsid w:val="001B4094"/>
    <w:rsid w:val="001B6CA0"/>
    <w:rsid w:val="001C15BD"/>
    <w:rsid w:val="001C39EC"/>
    <w:rsid w:val="001C5BB5"/>
    <w:rsid w:val="001D0476"/>
    <w:rsid w:val="001D3F37"/>
    <w:rsid w:val="001E1B22"/>
    <w:rsid w:val="001E1B61"/>
    <w:rsid w:val="001E1D0F"/>
    <w:rsid w:val="001E2913"/>
    <w:rsid w:val="001E396B"/>
    <w:rsid w:val="001E66B8"/>
    <w:rsid w:val="001E7E85"/>
    <w:rsid w:val="001F08BF"/>
    <w:rsid w:val="001F2BA2"/>
    <w:rsid w:val="002046CA"/>
    <w:rsid w:val="002047C9"/>
    <w:rsid w:val="00210087"/>
    <w:rsid w:val="002136EE"/>
    <w:rsid w:val="0021443D"/>
    <w:rsid w:val="00217357"/>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4B71"/>
    <w:rsid w:val="00276D3A"/>
    <w:rsid w:val="00277F5E"/>
    <w:rsid w:val="00281E31"/>
    <w:rsid w:val="002836B3"/>
    <w:rsid w:val="00286A39"/>
    <w:rsid w:val="00292A0F"/>
    <w:rsid w:val="00293CE5"/>
    <w:rsid w:val="00295166"/>
    <w:rsid w:val="0029536E"/>
    <w:rsid w:val="002955B6"/>
    <w:rsid w:val="00295C98"/>
    <w:rsid w:val="00297087"/>
    <w:rsid w:val="00297AD6"/>
    <w:rsid w:val="002A020F"/>
    <w:rsid w:val="002A4702"/>
    <w:rsid w:val="002A478D"/>
    <w:rsid w:val="002A5176"/>
    <w:rsid w:val="002A659F"/>
    <w:rsid w:val="002A6D71"/>
    <w:rsid w:val="002B144E"/>
    <w:rsid w:val="002B1C2F"/>
    <w:rsid w:val="002B2F76"/>
    <w:rsid w:val="002B5F86"/>
    <w:rsid w:val="002B66DA"/>
    <w:rsid w:val="002C1F21"/>
    <w:rsid w:val="002C1F5F"/>
    <w:rsid w:val="002C2012"/>
    <w:rsid w:val="002C3248"/>
    <w:rsid w:val="002C5668"/>
    <w:rsid w:val="002C675C"/>
    <w:rsid w:val="002C690F"/>
    <w:rsid w:val="002D0FC4"/>
    <w:rsid w:val="002D3029"/>
    <w:rsid w:val="002D37DB"/>
    <w:rsid w:val="002D6A6E"/>
    <w:rsid w:val="002E07B9"/>
    <w:rsid w:val="002E6798"/>
    <w:rsid w:val="002E7D58"/>
    <w:rsid w:val="002F1B02"/>
    <w:rsid w:val="002F20D8"/>
    <w:rsid w:val="002F3388"/>
    <w:rsid w:val="002F3BFC"/>
    <w:rsid w:val="002F3F2F"/>
    <w:rsid w:val="002F52FE"/>
    <w:rsid w:val="003010F9"/>
    <w:rsid w:val="00303280"/>
    <w:rsid w:val="00303A30"/>
    <w:rsid w:val="003107D9"/>
    <w:rsid w:val="00315DC7"/>
    <w:rsid w:val="0031675E"/>
    <w:rsid w:val="003167E6"/>
    <w:rsid w:val="0032201C"/>
    <w:rsid w:val="003225C7"/>
    <w:rsid w:val="0032591B"/>
    <w:rsid w:val="003333DC"/>
    <w:rsid w:val="00333892"/>
    <w:rsid w:val="00335B19"/>
    <w:rsid w:val="003369C4"/>
    <w:rsid w:val="00336E68"/>
    <w:rsid w:val="00344188"/>
    <w:rsid w:val="00344BF8"/>
    <w:rsid w:val="0034681A"/>
    <w:rsid w:val="003513E7"/>
    <w:rsid w:val="00351D51"/>
    <w:rsid w:val="003535AE"/>
    <w:rsid w:val="00354BAE"/>
    <w:rsid w:val="003558BE"/>
    <w:rsid w:val="00355E98"/>
    <w:rsid w:val="003574B1"/>
    <w:rsid w:val="003627C1"/>
    <w:rsid w:val="00362FCB"/>
    <w:rsid w:val="00364399"/>
    <w:rsid w:val="00365A12"/>
    <w:rsid w:val="00366491"/>
    <w:rsid w:val="0037246C"/>
    <w:rsid w:val="003745BD"/>
    <w:rsid w:val="00376A83"/>
    <w:rsid w:val="00380BB9"/>
    <w:rsid w:val="00380DDE"/>
    <w:rsid w:val="00380F43"/>
    <w:rsid w:val="00381C17"/>
    <w:rsid w:val="00384BF7"/>
    <w:rsid w:val="00386513"/>
    <w:rsid w:val="00387B18"/>
    <w:rsid w:val="00391AB2"/>
    <w:rsid w:val="00394504"/>
    <w:rsid w:val="00395CDE"/>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3552"/>
    <w:rsid w:val="003D3A5F"/>
    <w:rsid w:val="003D5235"/>
    <w:rsid w:val="003D5912"/>
    <w:rsid w:val="003D617F"/>
    <w:rsid w:val="003D7686"/>
    <w:rsid w:val="003E6A10"/>
    <w:rsid w:val="003E740F"/>
    <w:rsid w:val="003F18A3"/>
    <w:rsid w:val="003F27E0"/>
    <w:rsid w:val="003F3CD1"/>
    <w:rsid w:val="003F61F5"/>
    <w:rsid w:val="003F78A0"/>
    <w:rsid w:val="00401124"/>
    <w:rsid w:val="0040171D"/>
    <w:rsid w:val="004034D3"/>
    <w:rsid w:val="004049C4"/>
    <w:rsid w:val="004068F5"/>
    <w:rsid w:val="0040760A"/>
    <w:rsid w:val="00410383"/>
    <w:rsid w:val="00415936"/>
    <w:rsid w:val="00416252"/>
    <w:rsid w:val="0042008C"/>
    <w:rsid w:val="004205D9"/>
    <w:rsid w:val="004221D3"/>
    <w:rsid w:val="00424722"/>
    <w:rsid w:val="00430421"/>
    <w:rsid w:val="0043347E"/>
    <w:rsid w:val="00434160"/>
    <w:rsid w:val="00434494"/>
    <w:rsid w:val="00434A18"/>
    <w:rsid w:val="00436A66"/>
    <w:rsid w:val="004376A3"/>
    <w:rsid w:val="00440CD8"/>
    <w:rsid w:val="0044104A"/>
    <w:rsid w:val="004414B1"/>
    <w:rsid w:val="0044300C"/>
    <w:rsid w:val="00443EAA"/>
    <w:rsid w:val="00444E88"/>
    <w:rsid w:val="00444EBF"/>
    <w:rsid w:val="00446FA5"/>
    <w:rsid w:val="004479AB"/>
    <w:rsid w:val="00447C35"/>
    <w:rsid w:val="00451245"/>
    <w:rsid w:val="004569F0"/>
    <w:rsid w:val="0045737D"/>
    <w:rsid w:val="00461433"/>
    <w:rsid w:val="004626FD"/>
    <w:rsid w:val="004628C4"/>
    <w:rsid w:val="00462DF8"/>
    <w:rsid w:val="00464B27"/>
    <w:rsid w:val="0046543D"/>
    <w:rsid w:val="00470558"/>
    <w:rsid w:val="004705A8"/>
    <w:rsid w:val="004708DB"/>
    <w:rsid w:val="004722EF"/>
    <w:rsid w:val="004734A9"/>
    <w:rsid w:val="00480924"/>
    <w:rsid w:val="00484A91"/>
    <w:rsid w:val="00484E1C"/>
    <w:rsid w:val="004856B1"/>
    <w:rsid w:val="004863D3"/>
    <w:rsid w:val="00486669"/>
    <w:rsid w:val="004920AA"/>
    <w:rsid w:val="004922D8"/>
    <w:rsid w:val="00496634"/>
    <w:rsid w:val="00496A10"/>
    <w:rsid w:val="004A24CB"/>
    <w:rsid w:val="004A4876"/>
    <w:rsid w:val="004A5B9B"/>
    <w:rsid w:val="004B088F"/>
    <w:rsid w:val="004B0EF1"/>
    <w:rsid w:val="004B0FB8"/>
    <w:rsid w:val="004B1FBE"/>
    <w:rsid w:val="004B24C6"/>
    <w:rsid w:val="004C157D"/>
    <w:rsid w:val="004C4A7F"/>
    <w:rsid w:val="004C6C6C"/>
    <w:rsid w:val="004C7D46"/>
    <w:rsid w:val="004D1158"/>
    <w:rsid w:val="004D27A4"/>
    <w:rsid w:val="004D2DB6"/>
    <w:rsid w:val="004D3533"/>
    <w:rsid w:val="004D3954"/>
    <w:rsid w:val="004D3EBD"/>
    <w:rsid w:val="004D4521"/>
    <w:rsid w:val="004D4AB0"/>
    <w:rsid w:val="004D787A"/>
    <w:rsid w:val="004D7EDC"/>
    <w:rsid w:val="004E19E5"/>
    <w:rsid w:val="004E1BAD"/>
    <w:rsid w:val="004F17B4"/>
    <w:rsid w:val="004F41AC"/>
    <w:rsid w:val="004F48B5"/>
    <w:rsid w:val="004F6132"/>
    <w:rsid w:val="005008AA"/>
    <w:rsid w:val="0050331D"/>
    <w:rsid w:val="005033C5"/>
    <w:rsid w:val="005051DC"/>
    <w:rsid w:val="00505B67"/>
    <w:rsid w:val="00505F39"/>
    <w:rsid w:val="00506C4A"/>
    <w:rsid w:val="00512128"/>
    <w:rsid w:val="00513F17"/>
    <w:rsid w:val="00514752"/>
    <w:rsid w:val="005155B3"/>
    <w:rsid w:val="005176F4"/>
    <w:rsid w:val="00517D7F"/>
    <w:rsid w:val="00522A16"/>
    <w:rsid w:val="0052477A"/>
    <w:rsid w:val="0052484D"/>
    <w:rsid w:val="00526987"/>
    <w:rsid w:val="00526F0B"/>
    <w:rsid w:val="00531201"/>
    <w:rsid w:val="00531370"/>
    <w:rsid w:val="00532751"/>
    <w:rsid w:val="0053563A"/>
    <w:rsid w:val="00537750"/>
    <w:rsid w:val="00537E0E"/>
    <w:rsid w:val="00542F85"/>
    <w:rsid w:val="00545891"/>
    <w:rsid w:val="005470D0"/>
    <w:rsid w:val="00553326"/>
    <w:rsid w:val="00554E39"/>
    <w:rsid w:val="00556968"/>
    <w:rsid w:val="00557013"/>
    <w:rsid w:val="00566502"/>
    <w:rsid w:val="00570186"/>
    <w:rsid w:val="00570C48"/>
    <w:rsid w:val="00571BB4"/>
    <w:rsid w:val="00577427"/>
    <w:rsid w:val="0058450D"/>
    <w:rsid w:val="0058593D"/>
    <w:rsid w:val="00586439"/>
    <w:rsid w:val="00597750"/>
    <w:rsid w:val="005A153C"/>
    <w:rsid w:val="005A354E"/>
    <w:rsid w:val="005A4B35"/>
    <w:rsid w:val="005A76B1"/>
    <w:rsid w:val="005A7F38"/>
    <w:rsid w:val="005B15C6"/>
    <w:rsid w:val="005B1837"/>
    <w:rsid w:val="005B18F5"/>
    <w:rsid w:val="005B1A94"/>
    <w:rsid w:val="005B312C"/>
    <w:rsid w:val="005B3E7A"/>
    <w:rsid w:val="005C1963"/>
    <w:rsid w:val="005C6724"/>
    <w:rsid w:val="005C770E"/>
    <w:rsid w:val="005C7F32"/>
    <w:rsid w:val="005D4EA9"/>
    <w:rsid w:val="005D6A47"/>
    <w:rsid w:val="005E01E5"/>
    <w:rsid w:val="005E0694"/>
    <w:rsid w:val="005E4BA9"/>
    <w:rsid w:val="005E5EB2"/>
    <w:rsid w:val="005E779B"/>
    <w:rsid w:val="005F0F33"/>
    <w:rsid w:val="005F43E2"/>
    <w:rsid w:val="005F4931"/>
    <w:rsid w:val="0060701A"/>
    <w:rsid w:val="00607C53"/>
    <w:rsid w:val="00610583"/>
    <w:rsid w:val="006146D0"/>
    <w:rsid w:val="00615435"/>
    <w:rsid w:val="00615D2E"/>
    <w:rsid w:val="0061763F"/>
    <w:rsid w:val="006211D0"/>
    <w:rsid w:val="00627F16"/>
    <w:rsid w:val="00631E71"/>
    <w:rsid w:val="006322BA"/>
    <w:rsid w:val="00640A5A"/>
    <w:rsid w:val="0064113A"/>
    <w:rsid w:val="00641578"/>
    <w:rsid w:val="0064350B"/>
    <w:rsid w:val="006451F9"/>
    <w:rsid w:val="00647C22"/>
    <w:rsid w:val="00647C23"/>
    <w:rsid w:val="00647DAB"/>
    <w:rsid w:val="00650C33"/>
    <w:rsid w:val="00652B40"/>
    <w:rsid w:val="00655803"/>
    <w:rsid w:val="00657126"/>
    <w:rsid w:val="00662955"/>
    <w:rsid w:val="006641A0"/>
    <w:rsid w:val="00664538"/>
    <w:rsid w:val="00664B5D"/>
    <w:rsid w:val="006728F9"/>
    <w:rsid w:val="00674D9D"/>
    <w:rsid w:val="00675971"/>
    <w:rsid w:val="00676138"/>
    <w:rsid w:val="0067625B"/>
    <w:rsid w:val="00676A2B"/>
    <w:rsid w:val="00677559"/>
    <w:rsid w:val="00677AC6"/>
    <w:rsid w:val="0068055E"/>
    <w:rsid w:val="00681F0B"/>
    <w:rsid w:val="0068310A"/>
    <w:rsid w:val="00685798"/>
    <w:rsid w:val="00687BC5"/>
    <w:rsid w:val="00687D4F"/>
    <w:rsid w:val="00690813"/>
    <w:rsid w:val="00690AFA"/>
    <w:rsid w:val="00692124"/>
    <w:rsid w:val="006925FE"/>
    <w:rsid w:val="00692D35"/>
    <w:rsid w:val="00692FA3"/>
    <w:rsid w:val="006969CB"/>
    <w:rsid w:val="00696E45"/>
    <w:rsid w:val="006A1F26"/>
    <w:rsid w:val="006A2BDA"/>
    <w:rsid w:val="006A3CA7"/>
    <w:rsid w:val="006A3D24"/>
    <w:rsid w:val="006A439E"/>
    <w:rsid w:val="006A6986"/>
    <w:rsid w:val="006A7BDA"/>
    <w:rsid w:val="006B0128"/>
    <w:rsid w:val="006B652C"/>
    <w:rsid w:val="006B6D91"/>
    <w:rsid w:val="006B7990"/>
    <w:rsid w:val="006C21C2"/>
    <w:rsid w:val="006C2C9E"/>
    <w:rsid w:val="006C4CA8"/>
    <w:rsid w:val="006C63A5"/>
    <w:rsid w:val="006D0066"/>
    <w:rsid w:val="006D0E93"/>
    <w:rsid w:val="006D10E2"/>
    <w:rsid w:val="006D206B"/>
    <w:rsid w:val="006D4A1B"/>
    <w:rsid w:val="006D63EA"/>
    <w:rsid w:val="006D6692"/>
    <w:rsid w:val="006D6C65"/>
    <w:rsid w:val="006D74AA"/>
    <w:rsid w:val="006D77C8"/>
    <w:rsid w:val="006E07C7"/>
    <w:rsid w:val="006E2048"/>
    <w:rsid w:val="006E6B5C"/>
    <w:rsid w:val="006E7A8A"/>
    <w:rsid w:val="006F072E"/>
    <w:rsid w:val="006F1C7B"/>
    <w:rsid w:val="00700883"/>
    <w:rsid w:val="007010C9"/>
    <w:rsid w:val="00702E99"/>
    <w:rsid w:val="0070324A"/>
    <w:rsid w:val="007032FA"/>
    <w:rsid w:val="007053FD"/>
    <w:rsid w:val="0070584A"/>
    <w:rsid w:val="007061E4"/>
    <w:rsid w:val="00707518"/>
    <w:rsid w:val="00721A2C"/>
    <w:rsid w:val="00724FBA"/>
    <w:rsid w:val="00726D86"/>
    <w:rsid w:val="00731FE4"/>
    <w:rsid w:val="00732580"/>
    <w:rsid w:val="00733283"/>
    <w:rsid w:val="00733C59"/>
    <w:rsid w:val="0074272B"/>
    <w:rsid w:val="007468EC"/>
    <w:rsid w:val="00747146"/>
    <w:rsid w:val="00747780"/>
    <w:rsid w:val="00747F5C"/>
    <w:rsid w:val="0075288E"/>
    <w:rsid w:val="00753012"/>
    <w:rsid w:val="00755493"/>
    <w:rsid w:val="00756793"/>
    <w:rsid w:val="00756DCA"/>
    <w:rsid w:val="00761345"/>
    <w:rsid w:val="0076154F"/>
    <w:rsid w:val="00761E96"/>
    <w:rsid w:val="00762AA7"/>
    <w:rsid w:val="007641BC"/>
    <w:rsid w:val="007646E0"/>
    <w:rsid w:val="00770671"/>
    <w:rsid w:val="007708CD"/>
    <w:rsid w:val="00773AB6"/>
    <w:rsid w:val="0078355B"/>
    <w:rsid w:val="00785B47"/>
    <w:rsid w:val="00786A86"/>
    <w:rsid w:val="00787028"/>
    <w:rsid w:val="00787412"/>
    <w:rsid w:val="00787A88"/>
    <w:rsid w:val="00787EA3"/>
    <w:rsid w:val="00792525"/>
    <w:rsid w:val="00792661"/>
    <w:rsid w:val="00792725"/>
    <w:rsid w:val="007927C7"/>
    <w:rsid w:val="00792B51"/>
    <w:rsid w:val="00794575"/>
    <w:rsid w:val="007A0879"/>
    <w:rsid w:val="007A2E51"/>
    <w:rsid w:val="007A78A1"/>
    <w:rsid w:val="007A7D4A"/>
    <w:rsid w:val="007B1F4B"/>
    <w:rsid w:val="007B2D71"/>
    <w:rsid w:val="007B50D1"/>
    <w:rsid w:val="007B559E"/>
    <w:rsid w:val="007B72BB"/>
    <w:rsid w:val="007B78D2"/>
    <w:rsid w:val="007C62C8"/>
    <w:rsid w:val="007C7D6E"/>
    <w:rsid w:val="007D02E4"/>
    <w:rsid w:val="007D1E46"/>
    <w:rsid w:val="007D2729"/>
    <w:rsid w:val="007D338E"/>
    <w:rsid w:val="007E1271"/>
    <w:rsid w:val="007E3C0A"/>
    <w:rsid w:val="007E59FB"/>
    <w:rsid w:val="007E6137"/>
    <w:rsid w:val="007F2F7F"/>
    <w:rsid w:val="007F5A78"/>
    <w:rsid w:val="007F67D6"/>
    <w:rsid w:val="007F685F"/>
    <w:rsid w:val="007F7BDE"/>
    <w:rsid w:val="0080025B"/>
    <w:rsid w:val="008060CB"/>
    <w:rsid w:val="0080791B"/>
    <w:rsid w:val="0081065B"/>
    <w:rsid w:val="008117ED"/>
    <w:rsid w:val="00812A09"/>
    <w:rsid w:val="00814423"/>
    <w:rsid w:val="0081575D"/>
    <w:rsid w:val="00815774"/>
    <w:rsid w:val="008161DE"/>
    <w:rsid w:val="0081730A"/>
    <w:rsid w:val="00820D85"/>
    <w:rsid w:val="008272D0"/>
    <w:rsid w:val="00831ADB"/>
    <w:rsid w:val="00834C20"/>
    <w:rsid w:val="00836DC7"/>
    <w:rsid w:val="00842102"/>
    <w:rsid w:val="00847194"/>
    <w:rsid w:val="00850D4B"/>
    <w:rsid w:val="00851276"/>
    <w:rsid w:val="0085317A"/>
    <w:rsid w:val="008547E1"/>
    <w:rsid w:val="00854B08"/>
    <w:rsid w:val="00856B13"/>
    <w:rsid w:val="00857B23"/>
    <w:rsid w:val="008621F6"/>
    <w:rsid w:val="00862BA7"/>
    <w:rsid w:val="00862DDB"/>
    <w:rsid w:val="00862FE6"/>
    <w:rsid w:val="008637D0"/>
    <w:rsid w:val="008646CB"/>
    <w:rsid w:val="008652BB"/>
    <w:rsid w:val="00865BB0"/>
    <w:rsid w:val="008706B6"/>
    <w:rsid w:val="00872498"/>
    <w:rsid w:val="00872E42"/>
    <w:rsid w:val="008733AB"/>
    <w:rsid w:val="0087447E"/>
    <w:rsid w:val="00874AC7"/>
    <w:rsid w:val="00875EE5"/>
    <w:rsid w:val="00876491"/>
    <w:rsid w:val="00876993"/>
    <w:rsid w:val="00890955"/>
    <w:rsid w:val="00892FDB"/>
    <w:rsid w:val="00897FC3"/>
    <w:rsid w:val="008A1C6F"/>
    <w:rsid w:val="008A2467"/>
    <w:rsid w:val="008A2E0F"/>
    <w:rsid w:val="008B4824"/>
    <w:rsid w:val="008B482C"/>
    <w:rsid w:val="008B4ED4"/>
    <w:rsid w:val="008B551D"/>
    <w:rsid w:val="008B6066"/>
    <w:rsid w:val="008C40FA"/>
    <w:rsid w:val="008C4214"/>
    <w:rsid w:val="008C6A50"/>
    <w:rsid w:val="008D4443"/>
    <w:rsid w:val="008D5B8F"/>
    <w:rsid w:val="008D788D"/>
    <w:rsid w:val="008E0C5B"/>
    <w:rsid w:val="008E66BF"/>
    <w:rsid w:val="008F2C0C"/>
    <w:rsid w:val="008F303D"/>
    <w:rsid w:val="008F7279"/>
    <w:rsid w:val="008F75DF"/>
    <w:rsid w:val="008F7F91"/>
    <w:rsid w:val="009007DD"/>
    <w:rsid w:val="00901CA2"/>
    <w:rsid w:val="009036E0"/>
    <w:rsid w:val="00903E4C"/>
    <w:rsid w:val="0090635D"/>
    <w:rsid w:val="009074E9"/>
    <w:rsid w:val="009109D8"/>
    <w:rsid w:val="0091283F"/>
    <w:rsid w:val="009143D3"/>
    <w:rsid w:val="00914B69"/>
    <w:rsid w:val="0091711A"/>
    <w:rsid w:val="009175FC"/>
    <w:rsid w:val="00917653"/>
    <w:rsid w:val="00917BBA"/>
    <w:rsid w:val="009212DC"/>
    <w:rsid w:val="00921B13"/>
    <w:rsid w:val="00921FDD"/>
    <w:rsid w:val="00923717"/>
    <w:rsid w:val="00923F2B"/>
    <w:rsid w:val="00925562"/>
    <w:rsid w:val="00926B7C"/>
    <w:rsid w:val="00927B6A"/>
    <w:rsid w:val="00933606"/>
    <w:rsid w:val="00933C0D"/>
    <w:rsid w:val="00933C19"/>
    <w:rsid w:val="00936846"/>
    <w:rsid w:val="00936D6B"/>
    <w:rsid w:val="00940173"/>
    <w:rsid w:val="00942C36"/>
    <w:rsid w:val="009461EE"/>
    <w:rsid w:val="00946530"/>
    <w:rsid w:val="00951D00"/>
    <w:rsid w:val="00952F45"/>
    <w:rsid w:val="009534AD"/>
    <w:rsid w:val="0095361D"/>
    <w:rsid w:val="00953A85"/>
    <w:rsid w:val="00953EE0"/>
    <w:rsid w:val="00960E0F"/>
    <w:rsid w:val="00962DD3"/>
    <w:rsid w:val="00964447"/>
    <w:rsid w:val="0096611C"/>
    <w:rsid w:val="00972955"/>
    <w:rsid w:val="00972B26"/>
    <w:rsid w:val="009736F1"/>
    <w:rsid w:val="00977569"/>
    <w:rsid w:val="00983576"/>
    <w:rsid w:val="00983DB8"/>
    <w:rsid w:val="00983FDB"/>
    <w:rsid w:val="0098753E"/>
    <w:rsid w:val="00992945"/>
    <w:rsid w:val="00993C8B"/>
    <w:rsid w:val="00995393"/>
    <w:rsid w:val="009A0314"/>
    <w:rsid w:val="009A4C9E"/>
    <w:rsid w:val="009A6862"/>
    <w:rsid w:val="009A6D97"/>
    <w:rsid w:val="009A7FD0"/>
    <w:rsid w:val="009B0168"/>
    <w:rsid w:val="009B1FD3"/>
    <w:rsid w:val="009B3321"/>
    <w:rsid w:val="009B595B"/>
    <w:rsid w:val="009C004F"/>
    <w:rsid w:val="009C0F7F"/>
    <w:rsid w:val="009C1B42"/>
    <w:rsid w:val="009C2F6C"/>
    <w:rsid w:val="009D0D32"/>
    <w:rsid w:val="009D1542"/>
    <w:rsid w:val="009D15C4"/>
    <w:rsid w:val="009D1868"/>
    <w:rsid w:val="009D1D75"/>
    <w:rsid w:val="009D3A5A"/>
    <w:rsid w:val="009D46EC"/>
    <w:rsid w:val="009E167A"/>
    <w:rsid w:val="009E1A3A"/>
    <w:rsid w:val="009E291B"/>
    <w:rsid w:val="009E40D6"/>
    <w:rsid w:val="009E7F7E"/>
    <w:rsid w:val="009F18DB"/>
    <w:rsid w:val="009F4FA4"/>
    <w:rsid w:val="009F51AB"/>
    <w:rsid w:val="009F5FD2"/>
    <w:rsid w:val="00A05960"/>
    <w:rsid w:val="00A060E6"/>
    <w:rsid w:val="00A07EAC"/>
    <w:rsid w:val="00A108D9"/>
    <w:rsid w:val="00A15E87"/>
    <w:rsid w:val="00A24C64"/>
    <w:rsid w:val="00A25B05"/>
    <w:rsid w:val="00A26819"/>
    <w:rsid w:val="00A27EBD"/>
    <w:rsid w:val="00A32281"/>
    <w:rsid w:val="00A3229F"/>
    <w:rsid w:val="00A331A0"/>
    <w:rsid w:val="00A37F6D"/>
    <w:rsid w:val="00A41804"/>
    <w:rsid w:val="00A43F79"/>
    <w:rsid w:val="00A448A8"/>
    <w:rsid w:val="00A44DC2"/>
    <w:rsid w:val="00A44F07"/>
    <w:rsid w:val="00A46093"/>
    <w:rsid w:val="00A464D1"/>
    <w:rsid w:val="00A50F44"/>
    <w:rsid w:val="00A513A9"/>
    <w:rsid w:val="00A53C5D"/>
    <w:rsid w:val="00A54AAA"/>
    <w:rsid w:val="00A55B51"/>
    <w:rsid w:val="00A60D40"/>
    <w:rsid w:val="00A61515"/>
    <w:rsid w:val="00A61E3C"/>
    <w:rsid w:val="00A63C60"/>
    <w:rsid w:val="00A64DE0"/>
    <w:rsid w:val="00A65392"/>
    <w:rsid w:val="00A65AB1"/>
    <w:rsid w:val="00A65C5F"/>
    <w:rsid w:val="00A77169"/>
    <w:rsid w:val="00A77B70"/>
    <w:rsid w:val="00A81950"/>
    <w:rsid w:val="00A84537"/>
    <w:rsid w:val="00A85B6A"/>
    <w:rsid w:val="00A9313B"/>
    <w:rsid w:val="00AA0BE3"/>
    <w:rsid w:val="00AA0CDF"/>
    <w:rsid w:val="00AA130A"/>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B79AB"/>
    <w:rsid w:val="00AC36AC"/>
    <w:rsid w:val="00AC5AA3"/>
    <w:rsid w:val="00AC6957"/>
    <w:rsid w:val="00AC715A"/>
    <w:rsid w:val="00AD00FD"/>
    <w:rsid w:val="00AD1B00"/>
    <w:rsid w:val="00AD1D35"/>
    <w:rsid w:val="00AD1FD3"/>
    <w:rsid w:val="00AD2B57"/>
    <w:rsid w:val="00AD3055"/>
    <w:rsid w:val="00AD77FC"/>
    <w:rsid w:val="00AE0125"/>
    <w:rsid w:val="00AE6879"/>
    <w:rsid w:val="00AF7335"/>
    <w:rsid w:val="00B02207"/>
    <w:rsid w:val="00B025DE"/>
    <w:rsid w:val="00B0441F"/>
    <w:rsid w:val="00B06C38"/>
    <w:rsid w:val="00B077AE"/>
    <w:rsid w:val="00B12DCA"/>
    <w:rsid w:val="00B15D4D"/>
    <w:rsid w:val="00B17BCD"/>
    <w:rsid w:val="00B20570"/>
    <w:rsid w:val="00B23CBE"/>
    <w:rsid w:val="00B25712"/>
    <w:rsid w:val="00B27C73"/>
    <w:rsid w:val="00B32D04"/>
    <w:rsid w:val="00B32EAE"/>
    <w:rsid w:val="00B33881"/>
    <w:rsid w:val="00B3572A"/>
    <w:rsid w:val="00B42788"/>
    <w:rsid w:val="00B42A22"/>
    <w:rsid w:val="00B44031"/>
    <w:rsid w:val="00B44B2F"/>
    <w:rsid w:val="00B4593B"/>
    <w:rsid w:val="00B46C2B"/>
    <w:rsid w:val="00B47374"/>
    <w:rsid w:val="00B4799D"/>
    <w:rsid w:val="00B50F99"/>
    <w:rsid w:val="00B53DF7"/>
    <w:rsid w:val="00B54546"/>
    <w:rsid w:val="00B56D78"/>
    <w:rsid w:val="00B578A5"/>
    <w:rsid w:val="00B613EA"/>
    <w:rsid w:val="00B621B2"/>
    <w:rsid w:val="00B635B4"/>
    <w:rsid w:val="00B66635"/>
    <w:rsid w:val="00B716CE"/>
    <w:rsid w:val="00B72D10"/>
    <w:rsid w:val="00B73AC0"/>
    <w:rsid w:val="00B75836"/>
    <w:rsid w:val="00B768DE"/>
    <w:rsid w:val="00B77241"/>
    <w:rsid w:val="00B80563"/>
    <w:rsid w:val="00B80D99"/>
    <w:rsid w:val="00B82EED"/>
    <w:rsid w:val="00B8378E"/>
    <w:rsid w:val="00B8631F"/>
    <w:rsid w:val="00B86435"/>
    <w:rsid w:val="00B87EAF"/>
    <w:rsid w:val="00B90008"/>
    <w:rsid w:val="00B91A26"/>
    <w:rsid w:val="00B92E48"/>
    <w:rsid w:val="00B92E68"/>
    <w:rsid w:val="00B93181"/>
    <w:rsid w:val="00B93BA4"/>
    <w:rsid w:val="00B9428C"/>
    <w:rsid w:val="00B9449F"/>
    <w:rsid w:val="00B94ED3"/>
    <w:rsid w:val="00B95F98"/>
    <w:rsid w:val="00B9715B"/>
    <w:rsid w:val="00B9759F"/>
    <w:rsid w:val="00BA0C38"/>
    <w:rsid w:val="00BA14A0"/>
    <w:rsid w:val="00BA49D3"/>
    <w:rsid w:val="00BA7C44"/>
    <w:rsid w:val="00BB0B58"/>
    <w:rsid w:val="00BB0BAC"/>
    <w:rsid w:val="00BB0F9D"/>
    <w:rsid w:val="00BB2377"/>
    <w:rsid w:val="00BB4391"/>
    <w:rsid w:val="00BB516E"/>
    <w:rsid w:val="00BB5F06"/>
    <w:rsid w:val="00BC0179"/>
    <w:rsid w:val="00BC27E9"/>
    <w:rsid w:val="00BC6971"/>
    <w:rsid w:val="00BC7BD7"/>
    <w:rsid w:val="00BD1B70"/>
    <w:rsid w:val="00BD1B80"/>
    <w:rsid w:val="00BD1EED"/>
    <w:rsid w:val="00BD1F94"/>
    <w:rsid w:val="00BD3681"/>
    <w:rsid w:val="00BD4427"/>
    <w:rsid w:val="00BD52F8"/>
    <w:rsid w:val="00BD7D81"/>
    <w:rsid w:val="00BD7E9A"/>
    <w:rsid w:val="00BE1110"/>
    <w:rsid w:val="00BE1A32"/>
    <w:rsid w:val="00BE515F"/>
    <w:rsid w:val="00BE7336"/>
    <w:rsid w:val="00BF0464"/>
    <w:rsid w:val="00BF25FC"/>
    <w:rsid w:val="00BF342D"/>
    <w:rsid w:val="00BF440D"/>
    <w:rsid w:val="00BF49D7"/>
    <w:rsid w:val="00C023F6"/>
    <w:rsid w:val="00C02F9E"/>
    <w:rsid w:val="00C05B26"/>
    <w:rsid w:val="00C05DA2"/>
    <w:rsid w:val="00C10C0E"/>
    <w:rsid w:val="00C10D70"/>
    <w:rsid w:val="00C10DD7"/>
    <w:rsid w:val="00C13A17"/>
    <w:rsid w:val="00C13FE0"/>
    <w:rsid w:val="00C150B8"/>
    <w:rsid w:val="00C161C0"/>
    <w:rsid w:val="00C1704A"/>
    <w:rsid w:val="00C17B61"/>
    <w:rsid w:val="00C21854"/>
    <w:rsid w:val="00C21863"/>
    <w:rsid w:val="00C22371"/>
    <w:rsid w:val="00C245F5"/>
    <w:rsid w:val="00C25F4D"/>
    <w:rsid w:val="00C26C33"/>
    <w:rsid w:val="00C36D0D"/>
    <w:rsid w:val="00C40ECF"/>
    <w:rsid w:val="00C41033"/>
    <w:rsid w:val="00C45F1A"/>
    <w:rsid w:val="00C50FFD"/>
    <w:rsid w:val="00C526C8"/>
    <w:rsid w:val="00C53485"/>
    <w:rsid w:val="00C56B35"/>
    <w:rsid w:val="00C573AB"/>
    <w:rsid w:val="00C61A9B"/>
    <w:rsid w:val="00C62982"/>
    <w:rsid w:val="00C634B2"/>
    <w:rsid w:val="00C64A57"/>
    <w:rsid w:val="00C65E93"/>
    <w:rsid w:val="00C701B1"/>
    <w:rsid w:val="00C7056C"/>
    <w:rsid w:val="00C77F21"/>
    <w:rsid w:val="00C804C5"/>
    <w:rsid w:val="00C81D50"/>
    <w:rsid w:val="00C82D9A"/>
    <w:rsid w:val="00C8366F"/>
    <w:rsid w:val="00C86DFB"/>
    <w:rsid w:val="00C86F48"/>
    <w:rsid w:val="00C878C0"/>
    <w:rsid w:val="00C90E07"/>
    <w:rsid w:val="00C9229B"/>
    <w:rsid w:val="00C93BED"/>
    <w:rsid w:val="00C94FDD"/>
    <w:rsid w:val="00C96932"/>
    <w:rsid w:val="00C96F79"/>
    <w:rsid w:val="00CA01B0"/>
    <w:rsid w:val="00CA2C28"/>
    <w:rsid w:val="00CA5403"/>
    <w:rsid w:val="00CA647A"/>
    <w:rsid w:val="00CA661C"/>
    <w:rsid w:val="00CB652F"/>
    <w:rsid w:val="00CB65AF"/>
    <w:rsid w:val="00CB6D97"/>
    <w:rsid w:val="00CB75F4"/>
    <w:rsid w:val="00CB7D35"/>
    <w:rsid w:val="00CC0015"/>
    <w:rsid w:val="00CC335E"/>
    <w:rsid w:val="00CC67AA"/>
    <w:rsid w:val="00CD0A12"/>
    <w:rsid w:val="00CD3939"/>
    <w:rsid w:val="00CE39CA"/>
    <w:rsid w:val="00CE5122"/>
    <w:rsid w:val="00CE5263"/>
    <w:rsid w:val="00CE545E"/>
    <w:rsid w:val="00CE6428"/>
    <w:rsid w:val="00CE74AB"/>
    <w:rsid w:val="00CF169C"/>
    <w:rsid w:val="00CF191F"/>
    <w:rsid w:val="00CF1D3B"/>
    <w:rsid w:val="00CF2448"/>
    <w:rsid w:val="00CF2CC7"/>
    <w:rsid w:val="00D023F4"/>
    <w:rsid w:val="00D038E1"/>
    <w:rsid w:val="00D04C3F"/>
    <w:rsid w:val="00D0695E"/>
    <w:rsid w:val="00D10C87"/>
    <w:rsid w:val="00D1110E"/>
    <w:rsid w:val="00D13909"/>
    <w:rsid w:val="00D1416F"/>
    <w:rsid w:val="00D16F44"/>
    <w:rsid w:val="00D171F1"/>
    <w:rsid w:val="00D20720"/>
    <w:rsid w:val="00D21B59"/>
    <w:rsid w:val="00D2584A"/>
    <w:rsid w:val="00D302F3"/>
    <w:rsid w:val="00D31FD6"/>
    <w:rsid w:val="00D3389A"/>
    <w:rsid w:val="00D42A19"/>
    <w:rsid w:val="00D4596E"/>
    <w:rsid w:val="00D475D2"/>
    <w:rsid w:val="00D51278"/>
    <w:rsid w:val="00D51A31"/>
    <w:rsid w:val="00D51B12"/>
    <w:rsid w:val="00D525D9"/>
    <w:rsid w:val="00D52927"/>
    <w:rsid w:val="00D55823"/>
    <w:rsid w:val="00D5584A"/>
    <w:rsid w:val="00D5593C"/>
    <w:rsid w:val="00D603E3"/>
    <w:rsid w:val="00D6328C"/>
    <w:rsid w:val="00D64CCA"/>
    <w:rsid w:val="00D64D13"/>
    <w:rsid w:val="00D66A12"/>
    <w:rsid w:val="00D7419D"/>
    <w:rsid w:val="00D7489E"/>
    <w:rsid w:val="00D75086"/>
    <w:rsid w:val="00D76CBC"/>
    <w:rsid w:val="00D8028D"/>
    <w:rsid w:val="00D81AAD"/>
    <w:rsid w:val="00D82E75"/>
    <w:rsid w:val="00D82E87"/>
    <w:rsid w:val="00D83510"/>
    <w:rsid w:val="00D91EAE"/>
    <w:rsid w:val="00D96D86"/>
    <w:rsid w:val="00D97C71"/>
    <w:rsid w:val="00DA13CD"/>
    <w:rsid w:val="00DA7404"/>
    <w:rsid w:val="00DA7CA7"/>
    <w:rsid w:val="00DB0729"/>
    <w:rsid w:val="00DB1AC8"/>
    <w:rsid w:val="00DC154E"/>
    <w:rsid w:val="00DC15B6"/>
    <w:rsid w:val="00DC19A6"/>
    <w:rsid w:val="00DC2B66"/>
    <w:rsid w:val="00DC32F1"/>
    <w:rsid w:val="00DD0656"/>
    <w:rsid w:val="00DD1284"/>
    <w:rsid w:val="00DD6296"/>
    <w:rsid w:val="00DD6482"/>
    <w:rsid w:val="00DD7EBC"/>
    <w:rsid w:val="00DE1D1E"/>
    <w:rsid w:val="00DE6231"/>
    <w:rsid w:val="00DF0A4C"/>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3DE8"/>
    <w:rsid w:val="00E3487A"/>
    <w:rsid w:val="00E37D4D"/>
    <w:rsid w:val="00E40184"/>
    <w:rsid w:val="00E41B86"/>
    <w:rsid w:val="00E4374D"/>
    <w:rsid w:val="00E46A45"/>
    <w:rsid w:val="00E51E81"/>
    <w:rsid w:val="00E526E0"/>
    <w:rsid w:val="00E5302C"/>
    <w:rsid w:val="00E53D3B"/>
    <w:rsid w:val="00E56B1C"/>
    <w:rsid w:val="00E5771B"/>
    <w:rsid w:val="00E6204E"/>
    <w:rsid w:val="00E65692"/>
    <w:rsid w:val="00E65937"/>
    <w:rsid w:val="00E670EF"/>
    <w:rsid w:val="00E67B28"/>
    <w:rsid w:val="00E67F53"/>
    <w:rsid w:val="00E701C0"/>
    <w:rsid w:val="00E71504"/>
    <w:rsid w:val="00E73288"/>
    <w:rsid w:val="00E74D57"/>
    <w:rsid w:val="00E75074"/>
    <w:rsid w:val="00E81453"/>
    <w:rsid w:val="00E82968"/>
    <w:rsid w:val="00E84984"/>
    <w:rsid w:val="00E84F42"/>
    <w:rsid w:val="00E85848"/>
    <w:rsid w:val="00E85F83"/>
    <w:rsid w:val="00E87C20"/>
    <w:rsid w:val="00E94BEB"/>
    <w:rsid w:val="00E965F6"/>
    <w:rsid w:val="00EA0DBD"/>
    <w:rsid w:val="00EA0FCB"/>
    <w:rsid w:val="00EA2794"/>
    <w:rsid w:val="00EA2A34"/>
    <w:rsid w:val="00EA3A4B"/>
    <w:rsid w:val="00EA5E80"/>
    <w:rsid w:val="00EB071E"/>
    <w:rsid w:val="00EB0DBD"/>
    <w:rsid w:val="00EB24B3"/>
    <w:rsid w:val="00EB2C63"/>
    <w:rsid w:val="00EC1AE4"/>
    <w:rsid w:val="00EC343E"/>
    <w:rsid w:val="00EC44DC"/>
    <w:rsid w:val="00EC48FB"/>
    <w:rsid w:val="00EC654D"/>
    <w:rsid w:val="00EC6A22"/>
    <w:rsid w:val="00EC76B4"/>
    <w:rsid w:val="00EC7878"/>
    <w:rsid w:val="00ED0F2C"/>
    <w:rsid w:val="00ED1551"/>
    <w:rsid w:val="00ED170E"/>
    <w:rsid w:val="00ED3DAF"/>
    <w:rsid w:val="00ED4E71"/>
    <w:rsid w:val="00ED57BE"/>
    <w:rsid w:val="00ED5DDF"/>
    <w:rsid w:val="00ED7778"/>
    <w:rsid w:val="00EE0A39"/>
    <w:rsid w:val="00EE2078"/>
    <w:rsid w:val="00EE2415"/>
    <w:rsid w:val="00EE26B5"/>
    <w:rsid w:val="00EE348A"/>
    <w:rsid w:val="00EE58A3"/>
    <w:rsid w:val="00EE6219"/>
    <w:rsid w:val="00EE653F"/>
    <w:rsid w:val="00EF086F"/>
    <w:rsid w:val="00EF2230"/>
    <w:rsid w:val="00EF49FF"/>
    <w:rsid w:val="00EF5D62"/>
    <w:rsid w:val="00EF69D7"/>
    <w:rsid w:val="00F0503B"/>
    <w:rsid w:val="00F06AED"/>
    <w:rsid w:val="00F0760C"/>
    <w:rsid w:val="00F0778E"/>
    <w:rsid w:val="00F103FF"/>
    <w:rsid w:val="00F1084F"/>
    <w:rsid w:val="00F14237"/>
    <w:rsid w:val="00F14312"/>
    <w:rsid w:val="00F14D20"/>
    <w:rsid w:val="00F15F8B"/>
    <w:rsid w:val="00F17368"/>
    <w:rsid w:val="00F2038A"/>
    <w:rsid w:val="00F216C3"/>
    <w:rsid w:val="00F21D99"/>
    <w:rsid w:val="00F25582"/>
    <w:rsid w:val="00F2600F"/>
    <w:rsid w:val="00F278D4"/>
    <w:rsid w:val="00F31428"/>
    <w:rsid w:val="00F31660"/>
    <w:rsid w:val="00F32A5C"/>
    <w:rsid w:val="00F35F2A"/>
    <w:rsid w:val="00F36186"/>
    <w:rsid w:val="00F430A6"/>
    <w:rsid w:val="00F43D30"/>
    <w:rsid w:val="00F43E6A"/>
    <w:rsid w:val="00F4502D"/>
    <w:rsid w:val="00F46719"/>
    <w:rsid w:val="00F47C31"/>
    <w:rsid w:val="00F51AF8"/>
    <w:rsid w:val="00F53529"/>
    <w:rsid w:val="00F53B46"/>
    <w:rsid w:val="00F53ECF"/>
    <w:rsid w:val="00F549B4"/>
    <w:rsid w:val="00F55279"/>
    <w:rsid w:val="00F556BF"/>
    <w:rsid w:val="00F60643"/>
    <w:rsid w:val="00F61CF2"/>
    <w:rsid w:val="00F62766"/>
    <w:rsid w:val="00F62A64"/>
    <w:rsid w:val="00F62D53"/>
    <w:rsid w:val="00F639A5"/>
    <w:rsid w:val="00F63A24"/>
    <w:rsid w:val="00F71560"/>
    <w:rsid w:val="00F741FE"/>
    <w:rsid w:val="00F7677F"/>
    <w:rsid w:val="00F83AA1"/>
    <w:rsid w:val="00F8418F"/>
    <w:rsid w:val="00F85DEC"/>
    <w:rsid w:val="00F877A0"/>
    <w:rsid w:val="00FB0B9F"/>
    <w:rsid w:val="00FB124B"/>
    <w:rsid w:val="00FB2B9D"/>
    <w:rsid w:val="00FB3562"/>
    <w:rsid w:val="00FB3824"/>
    <w:rsid w:val="00FB4E0F"/>
    <w:rsid w:val="00FB6538"/>
    <w:rsid w:val="00FB7172"/>
    <w:rsid w:val="00FC48D4"/>
    <w:rsid w:val="00FD113E"/>
    <w:rsid w:val="00FD1FE8"/>
    <w:rsid w:val="00FD3567"/>
    <w:rsid w:val="00FD6B57"/>
    <w:rsid w:val="00FD6CCB"/>
    <w:rsid w:val="00FD75D7"/>
    <w:rsid w:val="00FE0586"/>
    <w:rsid w:val="00FE1E13"/>
    <w:rsid w:val="00FE3EE6"/>
    <w:rsid w:val="00FE595D"/>
    <w:rsid w:val="00FF0218"/>
    <w:rsid w:val="00FF19CF"/>
    <w:rsid w:val="00FF2015"/>
    <w:rsid w:val="00FF583E"/>
    <w:rsid w:val="00FF70E0"/>
    <w:rsid w:val="03054C0E"/>
    <w:rsid w:val="03C37334"/>
    <w:rsid w:val="03FE4E01"/>
    <w:rsid w:val="04DD4E8E"/>
    <w:rsid w:val="06117208"/>
    <w:rsid w:val="099E58B9"/>
    <w:rsid w:val="09C85543"/>
    <w:rsid w:val="0ABE46E6"/>
    <w:rsid w:val="0BB6734E"/>
    <w:rsid w:val="0D3E2500"/>
    <w:rsid w:val="0DFA3A3F"/>
    <w:rsid w:val="0F4E058D"/>
    <w:rsid w:val="0F5D683F"/>
    <w:rsid w:val="105539F4"/>
    <w:rsid w:val="15363789"/>
    <w:rsid w:val="156B2471"/>
    <w:rsid w:val="1AAB03C9"/>
    <w:rsid w:val="1C5E4196"/>
    <w:rsid w:val="1E121D57"/>
    <w:rsid w:val="1EA94757"/>
    <w:rsid w:val="1EAA1814"/>
    <w:rsid w:val="20E44A3D"/>
    <w:rsid w:val="20EA1A3A"/>
    <w:rsid w:val="227A6298"/>
    <w:rsid w:val="231A46C6"/>
    <w:rsid w:val="24BA1691"/>
    <w:rsid w:val="252E7AB0"/>
    <w:rsid w:val="25C63A99"/>
    <w:rsid w:val="25E44444"/>
    <w:rsid w:val="276C7FC6"/>
    <w:rsid w:val="284523C1"/>
    <w:rsid w:val="295714E7"/>
    <w:rsid w:val="2AD26CCF"/>
    <w:rsid w:val="2B77480B"/>
    <w:rsid w:val="2DDE1A37"/>
    <w:rsid w:val="307B4832"/>
    <w:rsid w:val="31D313B5"/>
    <w:rsid w:val="32972F21"/>
    <w:rsid w:val="335F7DCE"/>
    <w:rsid w:val="34757BA6"/>
    <w:rsid w:val="35423545"/>
    <w:rsid w:val="388B3362"/>
    <w:rsid w:val="3A2B21E3"/>
    <w:rsid w:val="3A36742C"/>
    <w:rsid w:val="3B010812"/>
    <w:rsid w:val="3ED97D0B"/>
    <w:rsid w:val="41187069"/>
    <w:rsid w:val="41E11BAA"/>
    <w:rsid w:val="462C4ABD"/>
    <w:rsid w:val="47B814BA"/>
    <w:rsid w:val="4AFA6747"/>
    <w:rsid w:val="4CE76C4F"/>
    <w:rsid w:val="4ED65DE2"/>
    <w:rsid w:val="4EE21061"/>
    <w:rsid w:val="4F724E1B"/>
    <w:rsid w:val="4FD52F89"/>
    <w:rsid w:val="5257455F"/>
    <w:rsid w:val="529A2404"/>
    <w:rsid w:val="52AE72EA"/>
    <w:rsid w:val="52B246D2"/>
    <w:rsid w:val="53AF0839"/>
    <w:rsid w:val="559C3E9D"/>
    <w:rsid w:val="562D0D67"/>
    <w:rsid w:val="567D4D8D"/>
    <w:rsid w:val="57F40807"/>
    <w:rsid w:val="581C6485"/>
    <w:rsid w:val="5A6968DC"/>
    <w:rsid w:val="5BBD3A0E"/>
    <w:rsid w:val="5C211CF6"/>
    <w:rsid w:val="61883740"/>
    <w:rsid w:val="64046B45"/>
    <w:rsid w:val="641A4820"/>
    <w:rsid w:val="665E5BA5"/>
    <w:rsid w:val="669E0512"/>
    <w:rsid w:val="677A7BC3"/>
    <w:rsid w:val="683625A6"/>
    <w:rsid w:val="68FF5395"/>
    <w:rsid w:val="692C0B11"/>
    <w:rsid w:val="6A2C7450"/>
    <w:rsid w:val="6CE82B24"/>
    <w:rsid w:val="70636A7F"/>
    <w:rsid w:val="75A05B82"/>
    <w:rsid w:val="76F97D89"/>
    <w:rsid w:val="7AA76066"/>
    <w:rsid w:val="7AB47DC0"/>
    <w:rsid w:val="7B8032EB"/>
    <w:rsid w:val="7E010B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21"/>
    <w:qFormat/>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Normal Indent"/>
    <w:basedOn w:val="1"/>
    <w:link w:val="20"/>
    <w:qFormat/>
    <w:uiPriority w:val="0"/>
    <w:rPr>
      <w:sz w:val="28"/>
      <w:szCs w:val="20"/>
    </w:rPr>
  </w:style>
  <w:style w:type="paragraph" w:styleId="6">
    <w:name w:val="annotation text"/>
    <w:basedOn w:val="1"/>
    <w:link w:val="22"/>
    <w:qFormat/>
    <w:uiPriority w:val="0"/>
    <w:pPr>
      <w:jc w:val="left"/>
    </w:pPr>
    <w:rPr>
      <w:szCs w:val="20"/>
    </w:rPr>
  </w:style>
  <w:style w:type="paragraph" w:styleId="7">
    <w:name w:val="Body Text"/>
    <w:basedOn w:val="1"/>
    <w:link w:val="25"/>
    <w:qFormat/>
    <w:uiPriority w:val="0"/>
    <w:pPr>
      <w:spacing w:after="120"/>
    </w:pPr>
    <w:rPr>
      <w:szCs w:val="20"/>
    </w:rPr>
  </w:style>
  <w:style w:type="paragraph" w:styleId="8">
    <w:name w:val="Body Text Indent"/>
    <w:basedOn w:val="1"/>
    <w:qFormat/>
    <w:uiPriority w:val="0"/>
    <w:pPr>
      <w:spacing w:line="0" w:lineRule="atLeast"/>
      <w:ind w:firstLine="527" w:firstLineChars="200"/>
    </w:pPr>
    <w:rPr>
      <w:rFonts w:ascii="仿宋_GB2312" w:eastAsia="仿宋_GB2312"/>
      <w:sz w:val="28"/>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character" w:styleId="15">
    <w:name w:val="page number"/>
    <w:basedOn w:val="14"/>
    <w:qFormat/>
    <w:uiPriority w:val="0"/>
  </w:style>
  <w:style w:type="character" w:styleId="16">
    <w:name w:val="annotation reference"/>
    <w:qFormat/>
    <w:uiPriority w:val="0"/>
    <w:rPr>
      <w:sz w:val="21"/>
      <w:szCs w:val="21"/>
    </w:rPr>
  </w:style>
  <w:style w:type="character" w:customStyle="1" w:styleId="17">
    <w:name w:val="标题 1 Char"/>
    <w:link w:val="4"/>
    <w:qFormat/>
    <w:uiPriority w:val="9"/>
    <w:rPr>
      <w:rFonts w:ascii="宋体" w:hAnsi="宋体" w:cs="宋体"/>
      <w:b/>
      <w:bCs/>
      <w:kern w:val="36"/>
      <w:sz w:val="48"/>
      <w:szCs w:val="48"/>
    </w:rPr>
  </w:style>
  <w:style w:type="paragraph" w:customStyle="1" w:styleId="18">
    <w:name w:val="Char Char Char Char Char Char1 Char"/>
    <w:basedOn w:val="1"/>
    <w:qFormat/>
    <w:uiPriority w:val="0"/>
    <w:pPr>
      <w:widowControl/>
      <w:spacing w:after="160" w:line="240" w:lineRule="exact"/>
      <w:jc w:val="left"/>
    </w:pPr>
  </w:style>
  <w:style w:type="character" w:customStyle="1" w:styleId="19">
    <w:name w:val="批注文字 Char"/>
    <w:link w:val="6"/>
    <w:qFormat/>
    <w:uiPriority w:val="0"/>
    <w:rPr>
      <w:kern w:val="2"/>
      <w:sz w:val="21"/>
    </w:rPr>
  </w:style>
  <w:style w:type="character" w:customStyle="1" w:styleId="20">
    <w:name w:val="正文缩进 Char"/>
    <w:link w:val="5"/>
    <w:qFormat/>
    <w:uiPriority w:val="0"/>
    <w:rPr>
      <w:kern w:val="2"/>
      <w:sz w:val="28"/>
    </w:rPr>
  </w:style>
  <w:style w:type="character" w:customStyle="1" w:styleId="21">
    <w:name w:val="页眉 Char"/>
    <w:link w:val="2"/>
    <w:qFormat/>
    <w:uiPriority w:val="0"/>
    <w:rPr>
      <w:kern w:val="2"/>
      <w:sz w:val="18"/>
      <w:szCs w:val="18"/>
    </w:rPr>
  </w:style>
  <w:style w:type="character" w:customStyle="1" w:styleId="22">
    <w:name w:val="批注文字 Char1"/>
    <w:basedOn w:val="14"/>
    <w:link w:val="6"/>
    <w:qFormat/>
    <w:uiPriority w:val="0"/>
    <w:rPr>
      <w:kern w:val="2"/>
      <w:sz w:val="21"/>
      <w:szCs w:val="24"/>
    </w:rPr>
  </w:style>
  <w:style w:type="paragraph" w:styleId="23">
    <w:name w:val="List Paragraph"/>
    <w:basedOn w:val="1"/>
    <w:unhideWhenUsed/>
    <w:qFormat/>
    <w:uiPriority w:val="99"/>
    <w:pPr>
      <w:ind w:firstLine="420" w:firstLineChars="200"/>
    </w:pPr>
  </w:style>
  <w:style w:type="character" w:customStyle="1" w:styleId="24">
    <w:name w:val="正文文本 Char"/>
    <w:link w:val="7"/>
    <w:qFormat/>
    <w:uiPriority w:val="0"/>
    <w:rPr>
      <w:kern w:val="2"/>
      <w:sz w:val="21"/>
    </w:rPr>
  </w:style>
  <w:style w:type="character" w:customStyle="1" w:styleId="25">
    <w:name w:val="正文文本 Char1"/>
    <w:basedOn w:val="14"/>
    <w:link w:val="7"/>
    <w:qFormat/>
    <w:uiPriority w:val="0"/>
    <w:rPr>
      <w:kern w:val="2"/>
      <w:sz w:val="21"/>
      <w:szCs w:val="24"/>
    </w:rPr>
  </w:style>
  <w:style w:type="paragraph" w:customStyle="1" w:styleId="26">
    <w:name w:val="Normal Indent1"/>
    <w:basedOn w:val="1"/>
    <w:qFormat/>
    <w:uiPriority w:val="0"/>
    <w:pPr>
      <w:ind w:firstLine="420" w:firstLineChars="200"/>
    </w:pPr>
    <w:rPr>
      <w:szCs w:val="20"/>
    </w:rPr>
  </w:style>
  <w:style w:type="paragraph" w:customStyle="1" w:styleId="27">
    <w:name w:val="表格内容"/>
    <w:basedOn w:val="1"/>
    <w:qFormat/>
    <w:uiPriority w:val="0"/>
    <w:pPr>
      <w:jc w:val="center"/>
    </w:pPr>
    <w:rPr>
      <w:szCs w:val="22"/>
    </w:rPr>
  </w:style>
  <w:style w:type="character" w:customStyle="1" w:styleId="28">
    <w:name w:val="日期 字符"/>
    <w:basedOn w:val="14"/>
    <w:semiHidden/>
    <w:qFormat/>
    <w:uiPriority w:val="0"/>
    <w:rPr>
      <w:rFonts w:ascii="Times New Roman" w:hAnsi="Times New Roman" w:eastAsia="宋体"/>
      <w:sz w:val="24"/>
    </w:rPr>
  </w:style>
  <w:style w:type="character" w:customStyle="1" w:styleId="29">
    <w:name w:val="正文文本 字符1"/>
    <w:semiHidden/>
    <w:qFormat/>
    <w:uiPriority w:val="0"/>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26847-87CA-42EC-9E2B-4E00DC005DEF}">
  <ds:schemaRefs/>
</ds:datastoreItem>
</file>

<file path=docProps/app.xml><?xml version="1.0" encoding="utf-8"?>
<Properties xmlns="http://schemas.openxmlformats.org/officeDocument/2006/extended-properties" xmlns:vt="http://schemas.openxmlformats.org/officeDocument/2006/docPropsVTypes">
  <Template>Normal</Template>
  <Company>wx</Company>
  <Pages>6</Pages>
  <Words>466</Words>
  <Characters>2662</Characters>
  <Lines>22</Lines>
  <Paragraphs>6</Paragraphs>
  <TotalTime>13</TotalTime>
  <ScaleCrop>false</ScaleCrop>
  <LinksUpToDate>false</LinksUpToDate>
  <CharactersWithSpaces>3122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cp:lastModifiedBy>
  <cp:lastPrinted>2020-06-08T01:00:00Z</cp:lastPrinted>
  <dcterms:modified xsi:type="dcterms:W3CDTF">2021-07-15T08:01:14Z</dcterms:modified>
  <dc:title>审批意见：</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