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黑体_GBK" w:hAnsi="方正小标宋_GBK" w:eastAsia="方正黑体_GBK" w:cs="方正小标宋_GBK"/>
          <w:sz w:val="28"/>
          <w:szCs w:val="28"/>
        </w:rPr>
      </w:pPr>
      <w:r>
        <w:rPr>
          <w:rFonts w:hint="eastAsia" w:ascii="方正黑体_GBK" w:hAnsi="方正小标宋_GBK" w:eastAsia="方正黑体_GBK" w:cs="方正小标宋_GBK"/>
          <w:sz w:val="28"/>
          <w:szCs w:val="28"/>
        </w:rPr>
        <w:t>附件1</w:t>
      </w:r>
    </w:p>
    <w:p>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资金下达明细表</w:t>
      </w:r>
    </w:p>
    <w:tbl>
      <w:tblPr>
        <w:tblStyle w:val="3"/>
        <w:tblpPr w:leftFromText="180" w:rightFromText="180" w:vertAnchor="text" w:horzAnchor="margin" w:tblpY="48"/>
        <w:tblOverlap w:val="never"/>
        <w:tblW w:w="14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643"/>
        <w:gridCol w:w="1869"/>
        <w:gridCol w:w="1856"/>
        <w:gridCol w:w="1418"/>
        <w:gridCol w:w="2068"/>
        <w:gridCol w:w="1485"/>
        <w:gridCol w:w="1485"/>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trPr>
        <w:tc>
          <w:tcPr>
            <w:tcW w:w="1405" w:type="dxa"/>
            <w:tcBorders>
              <w:top w:val="single" w:color="auto" w:sz="4" w:space="0"/>
            </w:tcBorders>
            <w:vAlign w:val="center"/>
          </w:tcPr>
          <w:p>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预算单位</w:t>
            </w:r>
          </w:p>
          <w:p>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（县区）</w:t>
            </w:r>
          </w:p>
        </w:tc>
        <w:tc>
          <w:tcPr>
            <w:tcW w:w="1643" w:type="dxa"/>
            <w:tcBorders>
              <w:top w:val="single" w:color="auto" w:sz="4" w:space="0"/>
            </w:tcBorders>
            <w:vAlign w:val="center"/>
          </w:tcPr>
          <w:p>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功能科目</w:t>
            </w:r>
          </w:p>
        </w:tc>
        <w:tc>
          <w:tcPr>
            <w:tcW w:w="1869" w:type="dxa"/>
            <w:tcBorders>
              <w:top w:val="single" w:color="auto" w:sz="4" w:space="0"/>
            </w:tcBorders>
            <w:vAlign w:val="center"/>
          </w:tcPr>
          <w:p>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政府经济科目</w:t>
            </w:r>
          </w:p>
        </w:tc>
        <w:tc>
          <w:tcPr>
            <w:tcW w:w="1856" w:type="dxa"/>
            <w:tcBorders>
              <w:top w:val="single" w:color="auto" w:sz="4" w:space="0"/>
            </w:tcBorders>
            <w:vAlign w:val="center"/>
          </w:tcPr>
          <w:p>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项目分类</w:t>
            </w:r>
          </w:p>
        </w:tc>
        <w:tc>
          <w:tcPr>
            <w:tcW w:w="1418" w:type="dxa"/>
            <w:tcBorders>
              <w:top w:val="single" w:color="auto" w:sz="4" w:space="0"/>
            </w:tcBorders>
            <w:vAlign w:val="center"/>
          </w:tcPr>
          <w:p>
            <w:pPr>
              <w:spacing w:line="300" w:lineRule="exact"/>
              <w:jc w:val="center"/>
              <w:rPr>
                <w:rFonts w:ascii="Times New Roman" w:hAnsi="Times New Roman" w:eastAsia="方正仿宋_GBK"/>
                <w:b/>
                <w:color w:val="000000"/>
                <w:sz w:val="22"/>
              </w:rPr>
            </w:pPr>
            <w:r>
              <w:rPr>
                <w:rFonts w:hint="eastAsia" w:ascii="Times New Roman" w:hAnsi="Times New Roman" w:eastAsia="方正仿宋_GBK"/>
                <w:b/>
                <w:color w:val="000000"/>
                <w:sz w:val="22"/>
              </w:rPr>
              <w:t>预算项目</w:t>
            </w:r>
          </w:p>
        </w:tc>
        <w:tc>
          <w:tcPr>
            <w:tcW w:w="2068" w:type="dxa"/>
            <w:tcBorders>
              <w:top w:val="single" w:color="auto" w:sz="4" w:space="0"/>
            </w:tcBorders>
            <w:vAlign w:val="center"/>
          </w:tcPr>
          <w:p>
            <w:pPr>
              <w:spacing w:line="300" w:lineRule="exact"/>
              <w:jc w:val="center"/>
              <w:rPr>
                <w:rFonts w:ascii="Times New Roman" w:hAnsi="Times New Roman" w:eastAsia="方正仿宋_GBK"/>
                <w:b/>
                <w:color w:val="000000"/>
                <w:sz w:val="22"/>
              </w:rPr>
            </w:pPr>
            <w:r>
              <w:rPr>
                <w:rFonts w:hint="eastAsia" w:ascii="Times New Roman" w:hAnsi="Times New Roman" w:eastAsia="方正仿宋_GBK"/>
                <w:b/>
                <w:color w:val="000000"/>
                <w:sz w:val="22"/>
              </w:rPr>
              <w:t>指标</w:t>
            </w:r>
            <w:r>
              <w:rPr>
                <w:rFonts w:ascii="Times New Roman" w:hAnsi="Times New Roman" w:eastAsia="方正仿宋_GBK"/>
                <w:b/>
                <w:color w:val="000000"/>
                <w:sz w:val="22"/>
              </w:rPr>
              <w:t>用途摘要</w:t>
            </w:r>
          </w:p>
        </w:tc>
        <w:tc>
          <w:tcPr>
            <w:tcW w:w="1485" w:type="dxa"/>
            <w:tcBorders>
              <w:top w:val="single" w:color="auto" w:sz="4" w:space="0"/>
            </w:tcBorders>
            <w:vAlign w:val="center"/>
          </w:tcPr>
          <w:p>
            <w:pPr>
              <w:spacing w:line="300" w:lineRule="exact"/>
              <w:jc w:val="center"/>
              <w:rPr>
                <w:rFonts w:hint="default" w:ascii="Times New Roman" w:hAnsi="Times New Roman" w:eastAsia="方正仿宋_GBK"/>
                <w:b/>
                <w:color w:val="000000"/>
                <w:sz w:val="22"/>
                <w:lang w:val="en-US" w:eastAsia="zh-CN"/>
              </w:rPr>
            </w:pPr>
            <w:r>
              <w:rPr>
                <w:rFonts w:hint="eastAsia" w:ascii="Times New Roman" w:hAnsi="Times New Roman" w:eastAsia="方正仿宋_GBK"/>
                <w:b/>
                <w:color w:val="000000"/>
                <w:sz w:val="22"/>
                <w:lang w:val="en-US" w:eastAsia="zh-CN"/>
              </w:rPr>
              <w:t>指标来源</w:t>
            </w:r>
          </w:p>
        </w:tc>
        <w:tc>
          <w:tcPr>
            <w:tcW w:w="1485" w:type="dxa"/>
            <w:tcBorders>
              <w:top w:val="single" w:color="auto" w:sz="4" w:space="0"/>
            </w:tcBorders>
            <w:vAlign w:val="center"/>
          </w:tcPr>
          <w:p>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下达金额</w:t>
            </w:r>
            <w:r>
              <w:rPr>
                <w:rFonts w:hint="eastAsia" w:ascii="Times New Roman" w:hAnsi="Times New Roman" w:eastAsia="方正仿宋_GBK"/>
                <w:b/>
                <w:color w:val="000000"/>
                <w:sz w:val="22"/>
              </w:rPr>
              <w:t>（元）</w:t>
            </w:r>
          </w:p>
        </w:tc>
        <w:tc>
          <w:tcPr>
            <w:tcW w:w="1007" w:type="dxa"/>
            <w:tcBorders>
              <w:top w:val="single" w:color="auto" w:sz="4" w:space="0"/>
            </w:tcBorders>
            <w:vAlign w:val="center"/>
          </w:tcPr>
          <w:p>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trPr>
        <w:tc>
          <w:tcPr>
            <w:tcW w:w="1405" w:type="dxa"/>
            <w:vAlign w:val="center"/>
          </w:tcPr>
          <w:p>
            <w:pPr>
              <w:spacing w:line="300" w:lineRule="exact"/>
              <w:jc w:val="center"/>
              <w:rPr>
                <w:rFonts w:hint="eastAsia" w:ascii="方正仿宋_GBK" w:hAnsi="方正仿宋_GBK" w:eastAsia="方正仿宋_GBK" w:cs="方正仿宋_GBK"/>
                <w:color w:val="FF0000"/>
                <w:sz w:val="21"/>
                <w:szCs w:val="21"/>
              </w:rPr>
            </w:pPr>
            <w:r>
              <w:t>285001.新平彝族傣族自治县乡村振兴局</w:t>
            </w:r>
          </w:p>
        </w:tc>
        <w:tc>
          <w:tcPr>
            <w:tcW w:w="1643" w:type="dxa"/>
            <w:vAlign w:val="center"/>
          </w:tcPr>
          <w:p>
            <w:pPr>
              <w:spacing w:line="300" w:lineRule="exact"/>
              <w:jc w:val="center"/>
              <w:rPr>
                <w:rFonts w:hint="eastAsia" w:ascii="方正仿宋_GBK" w:hAnsi="方正仿宋_GBK" w:eastAsia="方正仿宋_GBK" w:cs="方正仿宋_GBK"/>
                <w:color w:val="FF0000"/>
                <w:sz w:val="21"/>
                <w:szCs w:val="21"/>
              </w:rPr>
            </w:pPr>
            <w:r>
              <w:t>2130506.农林水支出/巩固脱贫衔接乡村振兴/社会发展</w:t>
            </w:r>
          </w:p>
        </w:tc>
        <w:tc>
          <w:tcPr>
            <w:tcW w:w="1869" w:type="dxa"/>
            <w:vAlign w:val="center"/>
          </w:tcPr>
          <w:p>
            <w:pPr>
              <w:spacing w:line="300" w:lineRule="exact"/>
              <w:jc w:val="center"/>
              <w:rPr>
                <w:rFonts w:hint="eastAsia" w:ascii="方正仿宋_GBK" w:hAnsi="方正仿宋_GBK" w:eastAsia="方正仿宋_GBK" w:cs="方正仿宋_GBK"/>
                <w:color w:val="FF0000"/>
                <w:sz w:val="21"/>
                <w:szCs w:val="21"/>
              </w:rPr>
            </w:pPr>
            <w:r>
              <w:t>50902.对个人和家庭的补助/助学金</w:t>
            </w:r>
          </w:p>
        </w:tc>
        <w:tc>
          <w:tcPr>
            <w:tcW w:w="1856" w:type="dxa"/>
            <w:vAlign w:val="center"/>
          </w:tcPr>
          <w:p>
            <w:pPr>
              <w:spacing w:line="300" w:lineRule="exact"/>
              <w:jc w:val="center"/>
              <w:rPr>
                <w:rFonts w:hint="eastAsia" w:ascii="方正仿宋_GBK" w:hAnsi="方正仿宋_GBK" w:eastAsia="方正仿宋_GBK" w:cs="方正仿宋_GBK"/>
                <w:color w:val="FF0000"/>
                <w:sz w:val="21"/>
                <w:szCs w:val="21"/>
              </w:rPr>
            </w:pPr>
            <w:r>
              <w:t>32.特定目标类/民生类</w:t>
            </w:r>
          </w:p>
        </w:tc>
        <w:tc>
          <w:tcPr>
            <w:tcW w:w="1418" w:type="dxa"/>
            <w:vAlign w:val="center"/>
          </w:tcPr>
          <w:p>
            <w:pPr>
              <w:spacing w:line="300" w:lineRule="exact"/>
              <w:jc w:val="center"/>
              <w:rPr>
                <w:rFonts w:hint="eastAsia" w:ascii="方正仿宋_GBK" w:hAnsi="方正仿宋_GBK" w:eastAsia="方正仿宋_GBK" w:cs="方正仿宋_GBK"/>
                <w:color w:val="000000"/>
                <w:sz w:val="21"/>
                <w:szCs w:val="21"/>
              </w:rPr>
            </w:pPr>
            <w:r>
              <w:rPr>
                <w:rFonts w:hint="eastAsia" w:ascii="宋体" w:hAnsi="宋体" w:eastAsia="宋体" w:cs="宋体"/>
                <w:sz w:val="21"/>
                <w:szCs w:val="21"/>
                <w:highlight w:val="none"/>
              </w:rPr>
              <w:t>新平县</w:t>
            </w:r>
            <w:r>
              <w:rPr>
                <w:rFonts w:hint="eastAsia" w:ascii="宋体" w:hAnsi="宋体" w:eastAsia="宋体" w:cs="宋体"/>
                <w:sz w:val="21"/>
                <w:szCs w:val="21"/>
                <w:highlight w:val="none"/>
                <w:lang w:bidi="ar"/>
              </w:rPr>
              <w:t>雨露计划</w:t>
            </w:r>
            <w:r>
              <w:rPr>
                <w:rFonts w:hint="eastAsia" w:ascii="宋体" w:hAnsi="宋体" w:eastAsia="宋体" w:cs="宋体"/>
                <w:sz w:val="21"/>
                <w:szCs w:val="21"/>
                <w:highlight w:val="none"/>
                <w:lang w:eastAsia="zh-CN" w:bidi="ar"/>
              </w:rPr>
              <w:t>扶持项目（</w:t>
            </w:r>
            <w:r>
              <w:rPr>
                <w:rFonts w:hint="eastAsia" w:ascii="宋体" w:hAnsi="宋体" w:eastAsia="宋体" w:cs="宋体"/>
                <w:sz w:val="21"/>
                <w:szCs w:val="21"/>
                <w:highlight w:val="none"/>
                <w:lang w:bidi="ar"/>
              </w:rPr>
              <w:t>2021年秋季学期</w:t>
            </w:r>
            <w:r>
              <w:rPr>
                <w:rFonts w:hint="eastAsia" w:ascii="宋体" w:hAnsi="宋体" w:eastAsia="宋体" w:cs="宋体"/>
                <w:sz w:val="21"/>
                <w:szCs w:val="21"/>
                <w:highlight w:val="none"/>
                <w:lang w:eastAsia="zh-CN" w:bidi="ar"/>
              </w:rPr>
              <w:t>）</w:t>
            </w:r>
          </w:p>
        </w:tc>
        <w:tc>
          <w:tcPr>
            <w:tcW w:w="2068" w:type="dxa"/>
            <w:vAlign w:val="center"/>
          </w:tcPr>
          <w:p>
            <w:pPr>
              <w:spacing w:line="300" w:lineRule="exact"/>
              <w:jc w:val="center"/>
              <w:rPr>
                <w:rFonts w:hint="eastAsia" w:ascii="方正仿宋_GBK" w:hAnsi="方正仿宋_GBK" w:eastAsia="方正仿宋_GBK" w:cs="方正仿宋_GBK"/>
                <w:color w:val="000000"/>
                <w:sz w:val="21"/>
                <w:szCs w:val="21"/>
              </w:rPr>
            </w:pPr>
            <w:r>
              <w:rPr>
                <w:rFonts w:hint="eastAsia"/>
              </w:rPr>
              <w:t>对全县脱贫户及监测户子女就读中高职业教育进行补助1500元/学期</w:t>
            </w:r>
          </w:p>
        </w:tc>
        <w:tc>
          <w:tcPr>
            <w:tcW w:w="1485" w:type="dxa"/>
            <w:vAlign w:val="center"/>
          </w:tcPr>
          <w:p>
            <w:pPr>
              <w:spacing w:line="300" w:lineRule="exact"/>
              <w:jc w:val="center"/>
              <w:rPr>
                <w:rFonts w:hint="eastAsia" w:ascii="方正仿宋_GBK" w:hAnsi="方正仿宋_GBK" w:eastAsia="方正仿宋_GBK" w:cs="方正仿宋_GBK"/>
                <w:color w:val="000000"/>
                <w:sz w:val="21"/>
                <w:szCs w:val="21"/>
              </w:rPr>
            </w:pPr>
            <w:r>
              <w:t>212.上级补助/年初安排/一般性转移支付</w:t>
            </w:r>
          </w:p>
        </w:tc>
        <w:tc>
          <w:tcPr>
            <w:tcW w:w="1485" w:type="dxa"/>
            <w:vAlign w:val="center"/>
          </w:tcPr>
          <w:p>
            <w:pPr>
              <w:spacing w:line="300" w:lineRule="exact"/>
              <w:jc w:val="center"/>
              <w:rPr>
                <w:rFonts w:hint="eastAsia" w:ascii="方正仿宋_GBK" w:hAnsi="方正仿宋_GBK" w:eastAsia="方正仿宋_GBK" w:cs="方正仿宋_GBK"/>
                <w:color w:val="000000"/>
                <w:sz w:val="21"/>
                <w:szCs w:val="21"/>
              </w:rPr>
            </w:pPr>
            <w:r>
              <w:t>615,000.00</w:t>
            </w:r>
          </w:p>
        </w:tc>
        <w:tc>
          <w:tcPr>
            <w:tcW w:w="1007" w:type="dxa"/>
            <w:vAlign w:val="center"/>
          </w:tcPr>
          <w:p>
            <w:pPr>
              <w:spacing w:line="300" w:lineRule="exact"/>
              <w:jc w:val="center"/>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 w:hRule="atLeast"/>
        </w:trPr>
        <w:tc>
          <w:tcPr>
            <w:tcW w:w="11744" w:type="dxa"/>
            <w:gridSpan w:val="7"/>
          </w:tcPr>
          <w:p>
            <w:pPr>
              <w:jc w:val="center"/>
            </w:pPr>
            <w:r>
              <w:t>合计</w:t>
            </w:r>
          </w:p>
        </w:tc>
        <w:tc>
          <w:tcPr>
            <w:tcW w:w="1485" w:type="dxa"/>
          </w:tcPr>
          <w:p>
            <w:pPr>
              <w:jc w:val="center"/>
            </w:pPr>
            <w:r>
              <w:t>615,000.00</w:t>
            </w:r>
          </w:p>
        </w:tc>
        <w:tc>
          <w:tcPr>
            <w:tcW w:w="1007" w:type="dxa"/>
          </w:tcPr>
          <w:p/>
        </w:tc>
      </w:tr>
    </w:tbl>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pPr>
    </w:p>
    <w:p>
      <w:pPr>
        <w:spacing w:line="300" w:lineRule="exact"/>
        <w:jc w:val="left"/>
        <w:rPr>
          <w:rFonts w:ascii="Times New Roman" w:hAnsi="Times New Roman" w:eastAsia="仿宋_GB2312"/>
          <w:sz w:val="28"/>
          <w:szCs w:val="28"/>
        </w:rPr>
        <w:sectPr>
          <w:pgSz w:w="16838" w:h="11906" w:orient="landscape"/>
          <w:pgMar w:top="1474" w:right="2098" w:bottom="1134" w:left="1587" w:header="851" w:footer="992" w:gutter="0"/>
          <w:pgNumType w:fmt="numberInDash"/>
          <w:cols w:space="0" w:num="1"/>
          <w:docGrid w:type="lines" w:linePitch="312" w:charSpace="0"/>
        </w:sectPr>
      </w:pPr>
    </w:p>
    <w:p>
      <w:pPr>
        <w:spacing w:line="560" w:lineRule="exact"/>
        <w:rPr>
          <w:rFonts w:ascii="方正黑体_GBK" w:hAnsi="方正小标宋_GBK" w:eastAsia="方正黑体_GBK" w:cs="方正小标宋_GBK"/>
          <w:sz w:val="44"/>
          <w:szCs w:val="44"/>
        </w:rPr>
      </w:pPr>
      <w:r>
        <w:rPr>
          <w:rFonts w:hint="eastAsia" w:ascii="方正黑体_GBK" w:hAnsi="方正小标宋_GBK" w:eastAsia="方正黑体_GBK" w:cs="方正小标宋_GBK"/>
          <w:sz w:val="28"/>
          <w:szCs w:val="28"/>
        </w:rPr>
        <w:t>附件2</w:t>
      </w:r>
    </w:p>
    <w:p>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项目资金绩效目标表</w:t>
      </w:r>
    </w:p>
    <w:p>
      <w:pPr>
        <w:spacing w:line="300" w:lineRule="exact"/>
        <w:jc w:val="left"/>
        <w:rPr>
          <w:rFonts w:ascii="Times New Roman" w:hAnsi="Times New Roman" w:eastAsia="仿宋_GB2312"/>
          <w:sz w:val="28"/>
          <w:szCs w:val="28"/>
        </w:rPr>
      </w:pPr>
    </w:p>
    <w:tbl>
      <w:tblPr>
        <w:tblStyle w:val="3"/>
        <w:tblW w:w="13425" w:type="dxa"/>
        <w:tblInd w:w="0" w:type="dxa"/>
        <w:tblLayout w:type="fixed"/>
        <w:tblCellMar>
          <w:top w:w="0" w:type="dxa"/>
          <w:left w:w="0" w:type="dxa"/>
          <w:bottom w:w="0" w:type="dxa"/>
          <w:right w:w="0" w:type="dxa"/>
        </w:tblCellMar>
      </w:tblPr>
      <w:tblGrid>
        <w:gridCol w:w="1755"/>
        <w:gridCol w:w="2459"/>
        <w:gridCol w:w="1425"/>
        <w:gridCol w:w="1425"/>
        <w:gridCol w:w="1081"/>
        <w:gridCol w:w="1200"/>
        <w:gridCol w:w="1200"/>
        <w:gridCol w:w="1230"/>
        <w:gridCol w:w="1650"/>
      </w:tblGrid>
      <w:tr>
        <w:tblPrEx>
          <w:tblLayout w:type="fixed"/>
          <w:tblCellMar>
            <w:top w:w="0" w:type="dxa"/>
            <w:left w:w="0" w:type="dxa"/>
            <w:bottom w:w="0" w:type="dxa"/>
            <w:right w:w="0" w:type="dxa"/>
          </w:tblCellMar>
        </w:tblPrEx>
        <w:trPr>
          <w:trHeight w:val="80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项目名称</w:t>
            </w:r>
          </w:p>
        </w:tc>
        <w:tc>
          <w:tcPr>
            <w:tcW w:w="639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r>
              <w:rPr>
                <w:rFonts w:hint="eastAsia" w:ascii="宋体" w:hAnsi="宋体" w:eastAsia="宋体" w:cs="宋体"/>
                <w:sz w:val="21"/>
                <w:szCs w:val="21"/>
                <w:highlight w:val="none"/>
              </w:rPr>
              <w:t>新平县</w:t>
            </w:r>
            <w:r>
              <w:rPr>
                <w:rFonts w:hint="eastAsia" w:ascii="宋体" w:hAnsi="宋体" w:eastAsia="宋体" w:cs="宋体"/>
                <w:sz w:val="21"/>
                <w:szCs w:val="21"/>
                <w:highlight w:val="none"/>
                <w:lang w:bidi="ar"/>
              </w:rPr>
              <w:t>雨露计划</w:t>
            </w:r>
            <w:r>
              <w:rPr>
                <w:rFonts w:hint="eastAsia" w:ascii="宋体" w:hAnsi="宋体" w:eastAsia="宋体" w:cs="宋体"/>
                <w:sz w:val="21"/>
                <w:szCs w:val="21"/>
                <w:highlight w:val="none"/>
                <w:lang w:eastAsia="zh-CN" w:bidi="ar"/>
              </w:rPr>
              <w:t>扶持项目（</w:t>
            </w:r>
            <w:r>
              <w:rPr>
                <w:rFonts w:hint="eastAsia" w:ascii="宋体" w:hAnsi="宋体" w:eastAsia="宋体" w:cs="宋体"/>
                <w:sz w:val="21"/>
                <w:szCs w:val="21"/>
                <w:highlight w:val="none"/>
                <w:lang w:bidi="ar"/>
              </w:rPr>
              <w:t>2021年秋季学期</w:t>
            </w:r>
            <w:r>
              <w:rPr>
                <w:rFonts w:hint="eastAsia" w:ascii="宋体" w:hAnsi="宋体" w:eastAsia="宋体" w:cs="宋体"/>
                <w:sz w:val="21"/>
                <w:szCs w:val="21"/>
                <w:highlight w:val="none"/>
                <w:lang w:eastAsia="zh-CN" w:bidi="ar"/>
              </w:rPr>
              <w:t>）</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资金安排（万元）</w:t>
            </w:r>
          </w:p>
        </w:tc>
        <w:tc>
          <w:tcPr>
            <w:tcW w:w="2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61.50</w:t>
            </w:r>
          </w:p>
        </w:tc>
      </w:tr>
      <w:tr>
        <w:tblPrEx>
          <w:tblLayout w:type="fixed"/>
          <w:tblCellMar>
            <w:top w:w="0" w:type="dxa"/>
            <w:left w:w="0" w:type="dxa"/>
            <w:bottom w:w="0" w:type="dxa"/>
            <w:right w:w="0" w:type="dxa"/>
          </w:tblCellMar>
        </w:tblPrEx>
        <w:trPr>
          <w:trHeight w:val="88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项目年度目标</w:t>
            </w:r>
          </w:p>
        </w:tc>
        <w:tc>
          <w:tcPr>
            <w:tcW w:w="1167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cs="宋体"/>
                <w:color w:val="000000"/>
                <w:sz w:val="22"/>
              </w:rPr>
            </w:pPr>
            <w:r>
              <w:rPr>
                <w:rFonts w:hint="eastAsia" w:ascii="宋体" w:hAnsi="宋体" w:cs="宋体"/>
                <w:color w:val="000000"/>
                <w:sz w:val="22"/>
              </w:rPr>
              <w:t>一是完成对脱贫户、边缘易致贫户、突发严重困难户子女人数的核实工作；</w:t>
            </w:r>
          </w:p>
          <w:p>
            <w:pPr>
              <w:jc w:val="left"/>
              <w:rPr>
                <w:rFonts w:ascii="宋体" w:hAnsi="宋体" w:cs="宋体"/>
                <w:color w:val="000000"/>
                <w:sz w:val="22"/>
              </w:rPr>
            </w:pPr>
            <w:r>
              <w:rPr>
                <w:rFonts w:hint="eastAsia" w:ascii="宋体" w:hAnsi="宋体" w:cs="宋体"/>
                <w:color w:val="000000"/>
                <w:sz w:val="22"/>
              </w:rPr>
              <w:t>二是完成对2021年秋季学期雨露计划脱贫户、边缘易致贫户、突发严重困难户子女410人次的补助61.5万元。</w:t>
            </w:r>
          </w:p>
        </w:tc>
      </w:tr>
      <w:tr>
        <w:tblPrEx>
          <w:tblLayout w:type="fixed"/>
          <w:tblCellMar>
            <w:top w:w="0" w:type="dxa"/>
            <w:left w:w="0" w:type="dxa"/>
            <w:bottom w:w="0" w:type="dxa"/>
            <w:right w:w="0" w:type="dxa"/>
          </w:tblCellMar>
        </w:tblPrEx>
        <w:trPr>
          <w:trHeight w:val="580" w:hRule="atLeast"/>
        </w:trPr>
        <w:tc>
          <w:tcPr>
            <w:tcW w:w="563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项目绩效指标</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指标性质</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指标值</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度量单位</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指标类型</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绩效指标值设定依据及数据来源</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说明</w:t>
            </w:r>
          </w:p>
        </w:tc>
      </w:tr>
      <w:tr>
        <w:tblPrEx>
          <w:tblLayout w:type="fixed"/>
          <w:tblCellMar>
            <w:top w:w="0" w:type="dxa"/>
            <w:left w:w="0" w:type="dxa"/>
            <w:bottom w:w="0" w:type="dxa"/>
            <w:right w:w="0" w:type="dxa"/>
          </w:tblCellMar>
        </w:tblPrEx>
        <w:trPr>
          <w:trHeight w:val="70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一级指标</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二级指标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三级指标</w:t>
            </w: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r>
      <w:tr>
        <w:tblPrEx>
          <w:tblLayout w:type="fixed"/>
          <w:tblCellMar>
            <w:top w:w="0" w:type="dxa"/>
            <w:left w:w="0" w:type="dxa"/>
            <w:bottom w:w="0" w:type="dxa"/>
            <w:right w:w="0" w:type="dxa"/>
          </w:tblCellMar>
        </w:tblPrEx>
        <w:trPr>
          <w:trHeight w:val="640"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产出指标</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数量指标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资助脱贫户、边缘易致贫户、突发严重困难户子女人数</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&gt;=</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410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人</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定量指标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依据：《全国防返贫监测信息系统》；数据来源：《新平县2021年秋季学期雨露计划补助项目实施方案》。</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从《全国防返贫监测信息系统》导出数据，并经乡镇核实，新平县2021年秋季学期雨露计划补助410人次。</w:t>
            </w:r>
          </w:p>
        </w:tc>
      </w:tr>
      <w:tr>
        <w:tblPrEx>
          <w:tblLayout w:type="fixed"/>
          <w:tblCellMar>
            <w:top w:w="0" w:type="dxa"/>
            <w:left w:w="0" w:type="dxa"/>
            <w:bottom w:w="0" w:type="dxa"/>
            <w:right w:w="0" w:type="dxa"/>
          </w:tblCellMar>
        </w:tblPrEx>
        <w:trPr>
          <w:trHeight w:val="640"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质量指标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资助标准达标率</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定量指标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依据：《云南省财政厅云南省乡村振兴局云南省发展和改革委员会云南省民族宗教事务委员会云南省农业农村厅云南省林业和草原局关于印发&lt;云南省财政衔接推进乡村振兴补助资金管理办法&gt;的通知》（云财农〔2021〕140号）；数据来源：《新平县2021年秋季学期雨露计划补助项目实施方案》。</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符合条件的脱贫家庭（含监测帮扶对象家庭），继续实施“雨露计划”。</w:t>
            </w:r>
          </w:p>
        </w:tc>
      </w:tr>
      <w:tr>
        <w:tblPrEx>
          <w:tblLayout w:type="fixed"/>
          <w:tblCellMar>
            <w:top w:w="0" w:type="dxa"/>
            <w:left w:w="0" w:type="dxa"/>
            <w:bottom w:w="0" w:type="dxa"/>
            <w:right w:w="0" w:type="dxa"/>
          </w:tblCellMar>
        </w:tblPrEx>
        <w:trPr>
          <w:trHeight w:val="640"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时效指标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发放时限</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&lt;=</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天</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定量指标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依据：《玉溪市财政局关于提前下达2022年中央财政衔接推进乡村振兴补助资金预算的通知》（玉财农〔2021〕234号）；数据来源：《新平县2021年秋季学期雨露计划补助项目实施方案》。</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2022年1月13-14日兑付新平县2021年秋季学期雨露计划补助61.5万元。</w:t>
            </w:r>
          </w:p>
        </w:tc>
      </w:tr>
      <w:tr>
        <w:tblPrEx>
          <w:tblLayout w:type="fixed"/>
          <w:tblCellMar>
            <w:top w:w="0" w:type="dxa"/>
            <w:left w:w="0" w:type="dxa"/>
            <w:bottom w:w="0" w:type="dxa"/>
            <w:right w:w="0" w:type="dxa"/>
          </w:tblCellMar>
        </w:tblPrEx>
        <w:trPr>
          <w:trHeight w:val="640"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成本指标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脱贫户、边缘易致贫户、突发严重困难户子女生均资助标准</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元/学期</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定量指标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依据：《云南省教育厅等四部门关于印发建档立卡贫困户学生精准资助实施方案和普通高中建档立卡贫困户家庭经济困难学生生活补助实施方案的通知》的通知》（玉教〔2017〕33号）；数据来源：《新平县2021年秋季学期雨露计划补助项目实施方案》。</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按每生每年3000元的标准给予生活费补助。即每生每学期的生活费补助标准为1500元。</w:t>
            </w:r>
          </w:p>
        </w:tc>
      </w:tr>
      <w:tr>
        <w:tblPrEx>
          <w:tblLayout w:type="fixed"/>
          <w:tblCellMar>
            <w:top w:w="0" w:type="dxa"/>
            <w:left w:w="0" w:type="dxa"/>
            <w:bottom w:w="0" w:type="dxa"/>
            <w:right w:w="0" w:type="dxa"/>
          </w:tblCellMar>
        </w:tblPrEx>
        <w:trPr>
          <w:trHeight w:val="640" w:hRule="atLeast"/>
        </w:trPr>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效益指标</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经济效益指标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r>
      <w:tr>
        <w:tblPrEx>
          <w:tblLayout w:type="fixed"/>
          <w:tblCellMar>
            <w:top w:w="0" w:type="dxa"/>
            <w:left w:w="0" w:type="dxa"/>
            <w:bottom w:w="0" w:type="dxa"/>
            <w:right w:w="0" w:type="dxa"/>
          </w:tblCellMar>
        </w:tblPrEx>
        <w:trPr>
          <w:trHeight w:val="640"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社会效益指标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脱贫户、边缘易致贫户、突发严重困难户子女全程全部接受资助的比例</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&gt;=</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定量指标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依据：《云南省财政厅云南省乡村振兴局云南省发展和改革委员会云南省民族宗教事务委员会云南省农业农村厅云南省林业和草原局关于印发&lt;云南省财政衔接推进乡村振兴补助资金管理办法&gt;的通知》（云财农〔2021〕140号）；数据来源：《新平县2021年秋季学期雨露计划补助项目实施方案》。</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符合条件的脱贫家庭（含监测帮扶对象家庭），继续实施“雨露计划”。</w:t>
            </w:r>
          </w:p>
        </w:tc>
      </w:tr>
      <w:tr>
        <w:tblPrEx>
          <w:tblLayout w:type="fixed"/>
          <w:tblCellMar>
            <w:top w:w="0" w:type="dxa"/>
            <w:left w:w="0" w:type="dxa"/>
            <w:bottom w:w="0" w:type="dxa"/>
            <w:right w:w="0" w:type="dxa"/>
          </w:tblCellMar>
        </w:tblPrEx>
        <w:trPr>
          <w:trHeight w:val="640"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生态效益指标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r>
      <w:tr>
        <w:tblPrEx>
          <w:tblLayout w:type="fixed"/>
          <w:tblCellMar>
            <w:top w:w="0" w:type="dxa"/>
            <w:left w:w="0" w:type="dxa"/>
            <w:bottom w:w="0" w:type="dxa"/>
            <w:right w:w="0" w:type="dxa"/>
          </w:tblCellMar>
        </w:tblPrEx>
        <w:trPr>
          <w:trHeight w:val="640" w:hRule="atLeast"/>
        </w:trPr>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可持续影响指标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2"/>
              </w:rPr>
            </w:pPr>
          </w:p>
        </w:tc>
      </w:tr>
      <w:tr>
        <w:tblPrEx>
          <w:tblLayout w:type="fixed"/>
          <w:tblCellMar>
            <w:top w:w="0" w:type="dxa"/>
            <w:left w:w="0" w:type="dxa"/>
            <w:bottom w:w="0" w:type="dxa"/>
            <w:right w:w="0" w:type="dxa"/>
          </w:tblCellMar>
        </w:tblPrEx>
        <w:trPr>
          <w:trHeight w:val="840" w:hRule="atLeast"/>
        </w:trPr>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满意度指标</w:t>
            </w:r>
          </w:p>
        </w:tc>
        <w:tc>
          <w:tcPr>
            <w:tcW w:w="2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服务对象满意度</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受助学生家长满意度</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&gt;=</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定量指标</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依据：《云南省财政厅云南省乡村振兴局云南省发展和改革委员会云南省民族宗教事务委员会云南省农业农村厅云南省林业和草原局关于印发&lt;云南省财政衔接推进乡村振兴补助资金管理办法&gt;的通知》（云财农〔2021〕140号）；数据来源：《新平县2021年秋季学期雨露计划补助项目实施方案》。</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spacing w:beforeLines="0" w:afterLines="0"/>
              <w:jc w:val="left"/>
              <w:rPr>
                <w:rFonts w:ascii="宋体" w:hAnsi="宋体" w:cs="宋体"/>
                <w:color w:val="000000"/>
                <w:sz w:val="22"/>
                <w:szCs w:val="22"/>
              </w:rPr>
            </w:pPr>
            <w:r>
              <w:rPr>
                <w:rFonts w:hint="eastAsia" w:ascii="宋体" w:hAnsi="宋体"/>
                <w:color w:val="000000"/>
                <w:sz w:val="22"/>
                <w:szCs w:val="22"/>
              </w:rPr>
              <w:t>通过新平县农商行代发系统将补助经费打入被资助学生家长的一卡通上。</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621E6"/>
    <w:rsid w:val="1C8552E5"/>
    <w:rsid w:val="4381772F"/>
    <w:rsid w:val="56897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2021-12-04T12:44:00Z</dcterms:created>
  <dc:creator>lenovo</dc:creator>
  <cp:lastModifiedBy>lenovo</cp:lastModifiedBy>
  <dcterms:modified xsi:type="dcterms:W3CDTF">2022-02-22T09:07:35Z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