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543" w:afterLines="174" w:afterAutospacing="0" w:line="15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color w:val="FF0000"/>
          <w:spacing w:val="-14"/>
          <w:w w:val="90"/>
          <w:sz w:val="122"/>
          <w:szCs w:val="12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000000"/>
          <w:spacing w:val="14"/>
          <w:w w:val="100"/>
          <w:sz w:val="100"/>
          <w:szCs w:val="100"/>
        </w:rPr>
      </w:pPr>
      <w:r>
        <w:rPr>
          <w:rFonts w:hint="eastAsia" w:ascii="方正小标宋_GBK" w:hAnsi="方正小标宋_GBK" w:eastAsia="方正小标宋_GBK" w:cs="方正小标宋_GBK"/>
          <w:b w:val="0"/>
          <w:bCs w:val="0"/>
          <w:color w:val="FF0000"/>
          <w:spacing w:val="14"/>
          <w:w w:val="100"/>
          <w:sz w:val="100"/>
          <w:szCs w:val="100"/>
        </w:rPr>
        <w:t>玉溪市财政局文件</w:t>
      </w:r>
    </w:p>
    <w:p>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both"/>
        <w:textAlignment w:val="auto"/>
        <w:outlineLvl w:val="9"/>
        <w:rPr>
          <w:rFonts w:hint="eastAsia" w:ascii="仿宋_GB2312" w:eastAsia="仿宋_GB2312"/>
          <w:color w:val="000000"/>
          <w:spacing w:val="-2"/>
          <w:w w:val="90"/>
          <w:sz w:val="32"/>
          <w:szCs w:val="32"/>
        </w:rPr>
      </w:pP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default" w:ascii="Times New Roman" w:hAnsi="Times New Roman" w:eastAsia="方正仿宋_GBK" w:cs="Times New Roman"/>
          <w:sz w:val="32"/>
          <w:szCs w:val="32"/>
        </w:rPr>
        <w:t>玉财</w:t>
      </w:r>
      <w:r>
        <w:rPr>
          <w:rFonts w:hint="eastAsia" w:ascii="方正仿宋_GBK" w:hAnsi="方正仿宋_GBK" w:eastAsia="方正仿宋_GBK" w:cs="方正仿宋_GBK"/>
          <w:sz w:val="32"/>
          <w:szCs w:val="32"/>
        </w:rPr>
        <w:t>采</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号</w:t>
      </w:r>
    </w:p>
    <w:p>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eastAsia"/>
          <w:b/>
          <w:color w:val="FF0000"/>
          <w:spacing w:val="-28"/>
          <w:w w:val="90"/>
          <w:sz w:val="32"/>
          <w:szCs w:val="32"/>
        </w:rPr>
      </w:pPr>
      <w:r>
        <w:rPr>
          <w:rFonts w:hint="eastAsia"/>
          <w:b/>
          <w:color w:val="FF0000"/>
          <w:spacing w:val="-28"/>
          <w:sz w:val="32"/>
          <w:szCs w:val="32"/>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99695</wp:posOffset>
                </wp:positionV>
                <wp:extent cx="568769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7695" cy="635"/>
                        </a:xfrm>
                        <a:prstGeom prst="line">
                          <a:avLst/>
                        </a:prstGeom>
                        <a:ln w="19050" cap="flat" cmpd="sng">
                          <a:solidFill>
                            <a:srgbClr val="F9052D"/>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59264;mso-width-relative:page;mso-height-relative:page;" filled="f" stroked="t" coordsize="21600,21600" o:gfxdata="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aYweNkAAAAIAQAA&#10;DwAAAAAAAAABACAAAAAiAAAAZHJzL2Rvd25yZXYueG1sUEsBAhQAFAAAAAgAh07iQLTcTTDfAQAA&#10;mQMAAA4AAAAAAAAAAQAgAAAAKAEAAGRycy9lMm9Eb2MueG1sUEsFBgAAAAAGAAYAWQEAAHkFAAAA&#10;AA==&#10;">
                <v:fill on="f" focussize="0,0"/>
                <v:stroke weight="1.5pt" color="#F9052D" joinstyle="round"/>
                <v:imagedata o:title=""/>
                <o:lock v:ext="edit" aspectratio="f"/>
              </v:line>
            </w:pict>
          </mc:Fallback>
        </mc:AlternateContent>
      </w:r>
      <w:r>
        <w:rPr>
          <w:b/>
          <w:color w:val="FF0000"/>
          <w:spacing w:val="-28"/>
          <w:w w:val="90"/>
          <w:sz w:val="32"/>
          <w:szCs w:val="32"/>
        </w:rPr>
        <w:tab/>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jc w:val="center"/>
        <w:textAlignment w:val="auto"/>
        <w:rPr>
          <w:rStyle w:val="8"/>
          <w:rFonts w:hint="eastAsia" w:ascii="方正小标宋_GBK" w:hAnsi="方正小标宋_GBK" w:eastAsia="方正小标宋_GBK" w:cs="方正小标宋_GBK"/>
          <w:b w:val="0"/>
          <w:bCs/>
          <w:sz w:val="44"/>
          <w:szCs w:val="4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jc w:val="center"/>
        <w:textAlignment w:val="auto"/>
        <w:rPr>
          <w:rStyle w:val="8"/>
          <w:rFonts w:hint="eastAsia" w:ascii="方正小标宋_GBK" w:hAnsi="方正小标宋_GBK" w:eastAsia="方正小标宋_GBK" w:cs="方正小标宋_GBK"/>
          <w:b w:val="0"/>
          <w:bCs/>
          <w:sz w:val="44"/>
          <w:szCs w:val="44"/>
        </w:rPr>
      </w:pPr>
      <w:r>
        <w:rPr>
          <w:rStyle w:val="8"/>
          <w:rFonts w:hint="eastAsia" w:ascii="方正小标宋_GBK" w:hAnsi="方正小标宋_GBK" w:eastAsia="方正小标宋_GBK" w:cs="方正小标宋_GBK"/>
          <w:b w:val="0"/>
          <w:bCs/>
          <w:sz w:val="44"/>
          <w:szCs w:val="44"/>
          <w:lang w:eastAsia="zh-CN"/>
        </w:rPr>
        <w:t>玉溪市财政局</w:t>
      </w:r>
      <w:r>
        <w:rPr>
          <w:rStyle w:val="8"/>
          <w:rFonts w:hint="eastAsia" w:ascii="方正小标宋_GBK" w:hAnsi="方正小标宋_GBK" w:eastAsia="方正小标宋_GBK" w:cs="方正小标宋_GBK"/>
          <w:b w:val="0"/>
          <w:bCs/>
          <w:sz w:val="44"/>
          <w:szCs w:val="44"/>
        </w:rPr>
        <w:t>关于贯彻财政部进一步加大</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jc w:val="center"/>
        <w:textAlignment w:val="auto"/>
        <w:rPr>
          <w:rStyle w:val="8"/>
          <w:rFonts w:hint="eastAsia" w:ascii="方正小标宋_GBK" w:hAnsi="方正小标宋_GBK" w:eastAsia="方正小标宋_GBK" w:cs="方正小标宋_GBK"/>
          <w:b w:val="0"/>
          <w:bCs/>
          <w:sz w:val="44"/>
          <w:szCs w:val="44"/>
        </w:rPr>
      </w:pPr>
      <w:r>
        <w:rPr>
          <w:rStyle w:val="8"/>
          <w:rFonts w:hint="eastAsia" w:ascii="方正小标宋_GBK" w:hAnsi="方正小标宋_GBK" w:eastAsia="方正小标宋_GBK" w:cs="方正小标宋_GBK"/>
          <w:b w:val="0"/>
          <w:bCs/>
          <w:sz w:val="44"/>
          <w:szCs w:val="44"/>
        </w:rPr>
        <w:t>政府采购支持中小企业力度的通知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jc w:val="left"/>
        <w:textAlignment w:val="auto"/>
        <w:rPr>
          <w:rFonts w:hint="eastAsia" w:ascii="方正仿宋_GBK" w:hAnsi="方正仿宋_GBK" w:eastAsia="方正仿宋_GBK" w:cs="方正仿宋_GBK"/>
          <w:spacing w:val="0"/>
          <w:kern w:val="0"/>
          <w:sz w:val="32"/>
          <w:szCs w:val="32"/>
          <w:lang w:val="en-US" w:eastAsia="zh-CN" w:bidi="ar"/>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jc w:val="left"/>
        <w:textAlignment w:val="auto"/>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kern w:val="0"/>
          <w:sz w:val="32"/>
          <w:szCs w:val="32"/>
          <w:lang w:val="en-US" w:eastAsia="zh-CN" w:bidi="ar"/>
        </w:rPr>
        <w:t>市直各委、办、局，各人民团体和事业单位，各县（市、区）财政局，高新区财政局：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kern w:val="0"/>
          <w:sz w:val="32"/>
          <w:szCs w:val="32"/>
          <w:lang w:val="en-US" w:eastAsia="zh-CN" w:bidi="ar"/>
        </w:rPr>
        <w:t>为帮助中小企业纾困解难，</w:t>
      </w:r>
      <w:r>
        <w:rPr>
          <w:rFonts w:hint="eastAsia" w:ascii="Times New Roman" w:hAnsi="Times New Roman" w:eastAsia="方正仿宋_GBK" w:cs="Times New Roman"/>
          <w:spacing w:val="0"/>
          <w:kern w:val="0"/>
          <w:sz w:val="32"/>
          <w:szCs w:val="32"/>
          <w:lang w:val="en-US" w:eastAsia="zh-CN" w:bidi="ar"/>
        </w:rPr>
        <w:t>贯彻落实</w:t>
      </w:r>
      <w:r>
        <w:rPr>
          <w:rFonts w:hint="default" w:ascii="Times New Roman" w:hAnsi="Times New Roman" w:eastAsia="方正仿宋_GBK" w:cs="Times New Roman"/>
          <w:spacing w:val="0"/>
          <w:kern w:val="0"/>
          <w:sz w:val="32"/>
          <w:szCs w:val="32"/>
          <w:lang w:val="en-US" w:eastAsia="zh-CN" w:bidi="ar"/>
        </w:rPr>
        <w:t>财政部印发的《关于进一步加大政府采购支持中小企业力度的通知》（财库〔2022〕19号）</w:t>
      </w:r>
      <w:r>
        <w:rPr>
          <w:rFonts w:hint="eastAsia" w:ascii="Times New Roman" w:hAnsi="Times New Roman" w:eastAsia="方正仿宋_GBK" w:cs="Times New Roman"/>
          <w:spacing w:val="0"/>
          <w:kern w:val="0"/>
          <w:sz w:val="32"/>
          <w:szCs w:val="32"/>
          <w:lang w:val="en-US" w:eastAsia="zh-CN" w:bidi="ar"/>
        </w:rPr>
        <w:t>文件精神</w:t>
      </w:r>
      <w:r>
        <w:rPr>
          <w:rFonts w:hint="default" w:ascii="Times New Roman" w:hAnsi="Times New Roman" w:eastAsia="方正仿宋_GBK" w:cs="Times New Roman"/>
          <w:spacing w:val="0"/>
          <w:kern w:val="0"/>
          <w:sz w:val="32"/>
          <w:szCs w:val="32"/>
          <w:lang w:val="en-US" w:eastAsia="zh-CN" w:bidi="ar"/>
        </w:rPr>
        <w:t>，</w:t>
      </w:r>
      <w:r>
        <w:rPr>
          <w:rFonts w:hint="eastAsia" w:ascii="Times New Roman" w:hAnsi="Times New Roman" w:eastAsia="方正仿宋_GBK" w:cs="Times New Roman"/>
          <w:spacing w:val="0"/>
          <w:kern w:val="0"/>
          <w:sz w:val="32"/>
          <w:szCs w:val="32"/>
          <w:lang w:val="en-US" w:eastAsia="zh-CN" w:bidi="ar"/>
        </w:rPr>
        <w:t>现结合玉溪</w:t>
      </w:r>
      <w:r>
        <w:rPr>
          <w:rFonts w:hint="default" w:ascii="Times New Roman" w:hAnsi="Times New Roman" w:eastAsia="方正仿宋_GBK" w:cs="Times New Roman"/>
          <w:spacing w:val="0"/>
          <w:kern w:val="0"/>
          <w:sz w:val="32"/>
          <w:szCs w:val="32"/>
          <w:lang w:val="en-US" w:eastAsia="zh-CN" w:bidi="ar"/>
        </w:rPr>
        <w:t>市实际，提出以下贯彻落实措施，请一并遵照执行。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i w:val="0"/>
          <w:caps w:val="0"/>
          <w:spacing w:val="0"/>
          <w:kern w:val="0"/>
          <w:sz w:val="32"/>
          <w:szCs w:val="32"/>
          <w:lang w:val="en-US" w:eastAsia="zh-CN" w:bidi="ar"/>
        </w:rPr>
        <w:t>一、切实增强政治自觉。</w:t>
      </w:r>
      <w:r>
        <w:rPr>
          <w:rFonts w:hint="eastAsia" w:ascii="方正仿宋_GBK" w:hAnsi="方正仿宋_GBK" w:eastAsia="方正仿宋_GBK" w:cs="方正仿宋_GBK"/>
          <w:i w:val="0"/>
          <w:caps w:val="0"/>
          <w:spacing w:val="0"/>
          <w:kern w:val="0"/>
          <w:sz w:val="32"/>
          <w:szCs w:val="32"/>
          <w:lang w:val="en-US" w:eastAsia="zh-CN" w:bidi="ar"/>
        </w:rPr>
        <w:t>各县（市、区）财政部门要提高政治站位，加强组织领导，明确工作责任，强化监督检查，认真贯彻落实国务院、财政部和省政府关于扎实稳住经济一揽子政策措施，通过政策解释、培训宣传、执行指导等方式，帮助政府采购当事人准确理解和运用各项政策。做好中小企业在获取采购信息、合同备案、融资担保等方面的服务工作，确保各项政策措施落实到位，增强中小企业在政府采购中的获得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i w:val="0"/>
          <w:caps w:val="0"/>
          <w:spacing w:val="0"/>
          <w:sz w:val="32"/>
          <w:szCs w:val="32"/>
        </w:rPr>
        <w:t>二、认真履行主体责任。</w:t>
      </w:r>
      <w:r>
        <w:rPr>
          <w:rFonts w:hint="eastAsia" w:ascii="方正仿宋_GBK" w:hAnsi="方正仿宋_GBK" w:eastAsia="方正仿宋_GBK" w:cs="方正仿宋_GBK"/>
          <w:i w:val="0"/>
          <w:caps w:val="0"/>
          <w:spacing w:val="0"/>
          <w:sz w:val="32"/>
          <w:szCs w:val="32"/>
        </w:rPr>
        <w:t>采购人要切实履行政府采购支持中小企业发展政策的主体责任，通过加强采购需求管理，落实预留采购份额、价格评审优惠等措施，降低中小企业参加政府采购门槛，提高中小企业在政府采购中的合同规模。主管预算单位要加强统筹指导，对本部门及所属单位政策执行情况进行监督管理，确保政策执行出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caps w:val="0"/>
          <w:spacing w:val="0"/>
          <w:sz w:val="32"/>
          <w:szCs w:val="32"/>
          <w:lang w:val="en-US" w:eastAsia="zh-CN"/>
        </w:rPr>
      </w:pPr>
      <w:r>
        <w:rPr>
          <w:rFonts w:hint="eastAsia" w:ascii="方正黑体_GBK" w:hAnsi="方正黑体_GBK" w:eastAsia="方正黑体_GBK" w:cs="方正黑体_GBK"/>
          <w:i w:val="0"/>
          <w:caps w:val="0"/>
          <w:spacing w:val="0"/>
          <w:sz w:val="32"/>
          <w:szCs w:val="32"/>
        </w:rPr>
        <w:t>三、确保提高预留份额。</w:t>
      </w:r>
      <w:r>
        <w:rPr>
          <w:rFonts w:hint="default" w:ascii="Times New Roman" w:hAnsi="Times New Roman" w:eastAsia="方正仿宋_GBK" w:cs="Times New Roman"/>
          <w:i w:val="0"/>
          <w:caps w:val="0"/>
          <w:spacing w:val="0"/>
          <w:sz w:val="32"/>
          <w:szCs w:val="32"/>
        </w:rPr>
        <w:t>主管预算单位应当组织评估本部门及所属单位2022年下半年400万元以上的政府采购工程项目，统筹制定面向中小企业预留采购份额实施计划，将符合条件项目的预留份额提高至40%以上。</w:t>
      </w:r>
      <w:r>
        <w:rPr>
          <w:rFonts w:hint="default" w:ascii="Times New Roman" w:hAnsi="Times New Roman" w:eastAsia="方正仿宋_GBK" w:cs="Times New Roman"/>
          <w:sz w:val="32"/>
          <w:szCs w:val="32"/>
        </w:rPr>
        <w:t>实施</w:t>
      </w:r>
      <w:r>
        <w:rPr>
          <w:rFonts w:hint="default" w:ascii="Times New Roman" w:hAnsi="Times New Roman" w:eastAsia="方正仿宋_GBK" w:cs="Times New Roman"/>
          <w:i w:val="0"/>
          <w:caps w:val="0"/>
          <w:spacing w:val="0"/>
          <w:sz w:val="32"/>
          <w:szCs w:val="32"/>
        </w:rPr>
        <w:t>计划于2022年6月30日前报同级财政部门备案（计划清单见附件）。</w:t>
      </w:r>
      <w:r>
        <w:rPr>
          <w:rFonts w:hint="default" w:ascii="Times New Roman" w:hAnsi="Times New Roman" w:eastAsia="方正仿宋_GBK" w:cs="Times New Roman"/>
          <w:i w:val="0"/>
          <w:caps w:val="0"/>
          <w:spacing w:val="0"/>
          <w:sz w:val="32"/>
          <w:szCs w:val="32"/>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i w:val="0"/>
          <w:caps w:val="0"/>
          <w:spacing w:val="0"/>
          <w:kern w:val="0"/>
          <w:sz w:val="32"/>
          <w:szCs w:val="32"/>
          <w:lang w:val="en-US" w:eastAsia="zh-CN" w:bidi="ar"/>
        </w:rPr>
        <w:t>四、落实价格评审优惠。</w:t>
      </w:r>
      <w:r>
        <w:rPr>
          <w:rFonts w:hint="eastAsia" w:ascii="方正仿宋_GBK" w:hAnsi="方正仿宋_GBK" w:eastAsia="方正仿宋_GBK" w:cs="方正仿宋_GBK"/>
          <w:i w:val="0"/>
          <w:caps w:val="0"/>
          <w:spacing w:val="0"/>
          <w:kern w:val="0"/>
          <w:sz w:val="32"/>
          <w:szCs w:val="32"/>
          <w:lang w:val="en-US" w:eastAsia="zh-CN" w:bidi="ar"/>
        </w:rPr>
        <w:t>非专门面向中小企业采购的项目，采购人应当执行新的价格扣除优惠政策规定，对小微企业报价给予扣除，用扣除后的价格参加评审。</w:t>
      </w:r>
      <w:r>
        <w:rPr>
          <w:rFonts w:hint="eastAsia" w:ascii="方正仿宋_GBK" w:hAnsi="方正仿宋_GBK" w:eastAsia="方正仿宋_GBK" w:cs="方正仿宋_GBK"/>
          <w:kern w:val="0"/>
          <w:sz w:val="32"/>
          <w:szCs w:val="32"/>
          <w:lang w:val="en-US" w:eastAsia="zh-CN" w:bidi="ar"/>
        </w:rPr>
        <w:t>采购人可根据采购项目特点，结合市场调研情况、竞争程度、利润率等情况，在规定的幅度内自主确定价格扣除比例，避免搞“一刀切”，将单位所有的政府采购项目统一固定为同一扣除比例。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caps w:val="0"/>
          <w:spacing w:val="0"/>
          <w:sz w:val="32"/>
          <w:szCs w:val="32"/>
        </w:rPr>
      </w:pPr>
      <w:r>
        <w:rPr>
          <w:rFonts w:hint="eastAsia" w:ascii="方正黑体_GBK" w:hAnsi="方正黑体_GBK" w:eastAsia="方正黑体_GBK" w:cs="方正黑体_GBK"/>
          <w:i w:val="0"/>
          <w:caps w:val="0"/>
          <w:spacing w:val="0"/>
          <w:sz w:val="32"/>
          <w:szCs w:val="32"/>
          <w:lang w:eastAsia="zh-CN"/>
        </w:rPr>
        <w:t>五</w:t>
      </w:r>
      <w:r>
        <w:rPr>
          <w:rFonts w:hint="eastAsia" w:ascii="方正黑体_GBK" w:hAnsi="方正黑体_GBK" w:eastAsia="方正黑体_GBK" w:cs="方正黑体_GBK"/>
          <w:i w:val="0"/>
          <w:caps w:val="0"/>
          <w:spacing w:val="0"/>
          <w:sz w:val="32"/>
          <w:szCs w:val="32"/>
        </w:rPr>
        <w:t>、加强政策执行监管。</w:t>
      </w:r>
      <w:r>
        <w:rPr>
          <w:rFonts w:hint="eastAsia" w:ascii="方正仿宋_GBK" w:hAnsi="方正仿宋_GBK" w:eastAsia="方正仿宋_GBK" w:cs="方正仿宋_GBK"/>
          <w:i w:val="0"/>
          <w:caps w:val="0"/>
          <w:spacing w:val="0"/>
          <w:sz w:val="32"/>
          <w:szCs w:val="32"/>
        </w:rPr>
        <w:t>各</w:t>
      </w:r>
      <w:r>
        <w:rPr>
          <w:rFonts w:hint="eastAsia" w:ascii="方正仿宋_GBK" w:hAnsi="方正仿宋_GBK" w:eastAsia="方正仿宋_GBK" w:cs="方正仿宋_GBK"/>
          <w:i w:val="0"/>
          <w:caps w:val="0"/>
          <w:spacing w:val="0"/>
          <w:sz w:val="32"/>
          <w:szCs w:val="32"/>
          <w:lang w:eastAsia="zh-CN"/>
        </w:rPr>
        <w:t>县（市、区）财政局</w:t>
      </w:r>
      <w:r>
        <w:rPr>
          <w:rFonts w:hint="eastAsia" w:ascii="方正仿宋_GBK" w:hAnsi="方正仿宋_GBK" w:eastAsia="方正仿宋_GBK" w:cs="方正仿宋_GBK"/>
          <w:i w:val="0"/>
          <w:caps w:val="0"/>
          <w:spacing w:val="0"/>
          <w:sz w:val="32"/>
          <w:szCs w:val="32"/>
        </w:rPr>
        <w:t>要强化政策措施执行监管，通过数据分析，项目抽查等方式，加强对资格条件、信息公开、交易收费、保证金收退、合同款项支付等情况的跟踪监督，切实维护中小企业合法权益。</w:t>
      </w:r>
      <w:r>
        <w:rPr>
          <w:rFonts w:hint="eastAsia" w:ascii="方正仿宋_GBK" w:hAnsi="方正仿宋_GBK" w:eastAsia="方正仿宋_GBK" w:cs="方正仿宋_GBK"/>
          <w:i w:val="0"/>
          <w:caps w:val="0"/>
          <w:spacing w:val="0"/>
          <w:sz w:val="32"/>
          <w:szCs w:val="32"/>
          <w:lang w:eastAsia="zh-CN"/>
        </w:rPr>
        <w:t>市财政局</w:t>
      </w:r>
      <w:r>
        <w:rPr>
          <w:rFonts w:hint="eastAsia" w:ascii="方正仿宋_GBK" w:hAnsi="方正仿宋_GBK" w:eastAsia="方正仿宋_GBK" w:cs="方正仿宋_GBK"/>
          <w:i w:val="0"/>
          <w:caps w:val="0"/>
          <w:spacing w:val="0"/>
          <w:sz w:val="32"/>
          <w:szCs w:val="32"/>
        </w:rPr>
        <w:t>将定期对各</w:t>
      </w:r>
      <w:r>
        <w:rPr>
          <w:rFonts w:hint="eastAsia" w:ascii="方正仿宋_GBK" w:hAnsi="方正仿宋_GBK" w:eastAsia="方正仿宋_GBK" w:cs="方正仿宋_GBK"/>
          <w:i w:val="0"/>
          <w:caps w:val="0"/>
          <w:spacing w:val="0"/>
          <w:sz w:val="32"/>
          <w:szCs w:val="32"/>
          <w:lang w:eastAsia="zh-CN"/>
        </w:rPr>
        <w:t>县（市、区）</w:t>
      </w:r>
      <w:r>
        <w:rPr>
          <w:rFonts w:hint="eastAsia" w:ascii="方正仿宋_GBK" w:hAnsi="方正仿宋_GBK" w:eastAsia="方正仿宋_GBK" w:cs="方正仿宋_GBK"/>
          <w:i w:val="0"/>
          <w:caps w:val="0"/>
          <w:spacing w:val="0"/>
          <w:sz w:val="32"/>
          <w:szCs w:val="32"/>
        </w:rPr>
        <w:t>政府采购支持中小企业政策执行情况进行通报，确保政府采购支持中小企业政策措施落实落地、提质增效。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caps w:val="0"/>
          <w:spacing w:val="0"/>
          <w:sz w:val="32"/>
          <w:szCs w:val="32"/>
        </w:rPr>
      </w:pP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0" w:lineRule="exact"/>
        <w:ind w:left="0" w:right="0" w:firstLine="616"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i w:val="0"/>
          <w:caps w:val="0"/>
          <w:spacing w:val="-6"/>
          <w:kern w:val="0"/>
          <w:sz w:val="32"/>
          <w:szCs w:val="32"/>
          <w:lang w:val="en-US" w:eastAsia="zh-CN" w:bidi="ar"/>
        </w:rPr>
        <w:t>附件：政府采购工程项目面向中小企业预留采购份额计划清单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56"/>
        <w:jc w:val="center"/>
        <w:textAlignment w:val="auto"/>
        <w:rPr>
          <w:rFonts w:hint="eastAsia" w:ascii="方正仿宋_GBK" w:hAnsi="方正仿宋_GBK" w:eastAsia="方正仿宋_GBK" w:cs="方正仿宋_GBK"/>
          <w:spacing w:val="14"/>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56"/>
        <w:jc w:val="center"/>
        <w:textAlignment w:val="auto"/>
        <w:rPr>
          <w:rFonts w:hint="default" w:ascii="Times New Roman" w:hAnsi="Times New Roman" w:eastAsia="方正仿宋_GBK" w:cs="Times New Roman"/>
          <w:spacing w:val="14"/>
          <w:sz w:val="32"/>
          <w:szCs w:val="32"/>
          <w:lang w:val="en-US" w:eastAsia="zh-CN"/>
        </w:rPr>
      </w:pPr>
      <w:r>
        <w:rPr>
          <w:sz w:val="32"/>
        </w:rPr>
        <w:pict>
          <v:shape id="_x0000_s1026" o:spid="_x0000_s1026" o:spt="201" type="#_x0000_t201" style="position:absolute;left:0pt;margin-left:250.3pt;margin-top:10.1pt;height:116pt;width:116pt;z-index:-251652096;mso-width-relative:page;mso-height-relative:page;" o:ole="t" filled="f" o:preferrelative="t" stroked="f" coordsize="21600,21600">
            <v:path/>
            <v:fill on="f" focussize="0,0"/>
            <v:stroke on="f"/>
            <v:imagedata r:id="rId11" o:title=""/>
            <o:lock v:ext="edit" aspectratio="f"/>
          </v:shape>
          <w:control r:id="rId10" w:name="CWordOLECtrl1" w:shapeid="_x0000_s1026"/>
        </w:pic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56"/>
        <w:jc w:val="center"/>
        <w:textAlignment w:val="auto"/>
        <w:rPr>
          <w:rFonts w:hint="default" w:ascii="Times New Roman" w:hAnsi="Times New Roman" w:eastAsia="方正仿宋_GBK" w:cs="Times New Roman"/>
          <w:spacing w:val="14"/>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56"/>
        <w:jc w:val="center"/>
        <w:textAlignment w:val="auto"/>
        <w:rPr>
          <w:rFonts w:hint="default" w:ascii="Times New Roman" w:hAnsi="Times New Roman" w:eastAsia="方正仿宋_GBK" w:cs="Times New Roman"/>
          <w:spacing w:val="14"/>
          <w:sz w:val="32"/>
          <w:szCs w:val="32"/>
          <w:lang w:eastAsia="zh-CN"/>
        </w:rPr>
      </w:pPr>
      <w:r>
        <w:rPr>
          <w:rFonts w:hint="default" w:ascii="Times New Roman" w:hAnsi="Times New Roman" w:eastAsia="方正仿宋_GBK" w:cs="Times New Roman"/>
          <w:spacing w:val="14"/>
          <w:sz w:val="32"/>
          <w:szCs w:val="32"/>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90" w:lineRule="exact"/>
        <w:ind w:left="0" w:right="0" w:firstLine="656"/>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4"/>
          <w:sz w:val="32"/>
          <w:szCs w:val="32"/>
          <w:lang w:val="en-US" w:eastAsia="zh-CN"/>
        </w:rPr>
        <w:t xml:space="preserve">                </w:t>
      </w:r>
      <w:r>
        <w:rPr>
          <w:rFonts w:hint="default" w:ascii="Times New Roman" w:hAnsi="Times New Roman" w:eastAsia="方正仿宋_GBK" w:cs="Times New Roman"/>
          <w:spacing w:val="14"/>
          <w:sz w:val="32"/>
          <w:szCs w:val="32"/>
        </w:rPr>
        <w:t>2022年6月</w:t>
      </w:r>
      <w:r>
        <w:rPr>
          <w:rFonts w:hint="default" w:ascii="Times New Roman" w:hAnsi="Times New Roman" w:eastAsia="方正仿宋_GBK" w:cs="Times New Roman"/>
          <w:spacing w:val="14"/>
          <w:sz w:val="32"/>
          <w:szCs w:val="32"/>
          <w:lang w:val="en-US" w:eastAsia="zh-CN"/>
        </w:rPr>
        <w:t>1</w:t>
      </w:r>
      <w:r>
        <w:rPr>
          <w:rFonts w:hint="eastAsia" w:ascii="Times New Roman" w:hAnsi="Times New Roman" w:eastAsia="方正仿宋_GBK" w:cs="Times New Roman"/>
          <w:spacing w:val="14"/>
          <w:sz w:val="32"/>
          <w:szCs w:val="32"/>
          <w:lang w:val="en-US" w:eastAsia="zh-CN"/>
        </w:rPr>
        <w:t>7</w:t>
      </w:r>
      <w:r>
        <w:rPr>
          <w:rFonts w:hint="default" w:ascii="Times New Roman" w:hAnsi="Times New Roman" w:eastAsia="方正仿宋_GBK" w:cs="Times New Roman"/>
          <w:spacing w:val="14"/>
          <w:sz w:val="32"/>
          <w:szCs w:val="32"/>
        </w:rPr>
        <w:t>日</w:t>
      </w: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sectPr>
          <w:footerReference r:id="rId3" w:type="default"/>
          <w:footerReference r:id="rId4" w:type="even"/>
          <w:pgSz w:w="11906" w:h="16838"/>
          <w:pgMar w:top="2041" w:right="1474" w:bottom="1304" w:left="1587" w:header="1361" w:footer="1191" w:gutter="0"/>
          <w:pgNumType w:fmt="decimal"/>
          <w:cols w:space="0" w:num="1"/>
          <w:rtlGutter w:val="0"/>
          <w:docGrid w:type="lines" w:linePitch="312" w:charSpace="0"/>
        </w:sect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0" w:lineRule="exact"/>
        <w:ind w:right="0" w:rightChars="0"/>
        <w:jc w:val="both"/>
        <w:textAlignment w:val="auto"/>
        <w:rPr>
          <w:rFonts w:hint="eastAsia" w:ascii="方正黑体_GBK" w:hAnsi="方正黑体_GBK" w:eastAsia="方正黑体_GBK" w:cs="方正黑体_GBK"/>
          <w:i w:val="0"/>
          <w:caps w:val="0"/>
          <w:spacing w:val="0"/>
          <w:sz w:val="32"/>
          <w:szCs w:val="32"/>
          <w:lang w:val="en-US" w:eastAsia="zh-CN"/>
        </w:rPr>
      </w:pPr>
      <w:r>
        <w:rPr>
          <w:rFonts w:hint="eastAsia" w:ascii="方正黑体_GBK" w:hAnsi="方正黑体_GBK" w:eastAsia="方正黑体_GBK" w:cs="方正黑体_GBK"/>
          <w:i w:val="0"/>
          <w:caps w:val="0"/>
          <w:spacing w:val="0"/>
          <w:sz w:val="32"/>
          <w:szCs w:val="32"/>
          <w:lang w:val="en-US" w:eastAsia="zh-CN"/>
        </w:rPr>
        <w:t>附件</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0" w:lineRule="exact"/>
        <w:ind w:right="0" w:rightChars="0"/>
        <w:jc w:val="center"/>
        <w:textAlignment w:val="auto"/>
        <w:outlineLvl w:val="0"/>
        <w:rPr>
          <w:rFonts w:hint="eastAsia" w:ascii="方正小标宋简体" w:hAnsi="方正小标宋简体" w:eastAsia="方正小标宋简体" w:cs="方正小标宋简体"/>
          <w:i w:val="0"/>
          <w:caps w:val="0"/>
          <w:spacing w:val="0"/>
          <w:sz w:val="44"/>
          <w:szCs w:val="44"/>
          <w:lang w:val="en-US" w:eastAsia="zh-CN"/>
        </w:rPr>
      </w:pP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0" w:lineRule="exact"/>
        <w:ind w:right="0" w:rightChars="0"/>
        <w:jc w:val="center"/>
        <w:textAlignment w:val="auto"/>
        <w:outlineLvl w:val="0"/>
        <w:rPr>
          <w:rFonts w:hint="eastAsia" w:ascii="方正小标宋_GBK" w:hAnsi="方正小标宋_GBK" w:eastAsia="方正小标宋_GBK" w:cs="方正小标宋_GBK"/>
          <w:i w:val="0"/>
          <w:caps w:val="0"/>
          <w:spacing w:val="0"/>
          <w:sz w:val="44"/>
          <w:szCs w:val="44"/>
          <w:lang w:val="en-US" w:eastAsia="zh-CN"/>
        </w:rPr>
      </w:pPr>
      <w:r>
        <w:rPr>
          <w:rFonts w:hint="eastAsia" w:ascii="方正小标宋_GBK" w:hAnsi="方正小标宋_GBK" w:eastAsia="方正小标宋_GBK" w:cs="方正小标宋_GBK"/>
          <w:i w:val="0"/>
          <w:caps w:val="0"/>
          <w:spacing w:val="0"/>
          <w:sz w:val="44"/>
          <w:szCs w:val="44"/>
          <w:lang w:val="en-US" w:eastAsia="zh-CN"/>
        </w:rPr>
        <w:t>政府采购工程项目</w:t>
      </w:r>
      <w:r>
        <w:rPr>
          <w:rFonts w:hint="eastAsia" w:ascii="方正小标宋_GBK" w:hAnsi="方正小标宋_GBK" w:eastAsia="方正小标宋_GBK" w:cs="方正小标宋_GBK"/>
          <w:i w:val="0"/>
          <w:caps w:val="0"/>
          <w:spacing w:val="0"/>
          <w:sz w:val="44"/>
          <w:szCs w:val="44"/>
        </w:rPr>
        <w:t>面向中小企业预留采购份额</w:t>
      </w:r>
      <w:r>
        <w:rPr>
          <w:rFonts w:hint="eastAsia" w:ascii="方正小标宋_GBK" w:hAnsi="方正小标宋_GBK" w:eastAsia="方正小标宋_GBK" w:cs="方正小标宋_GBK"/>
          <w:i w:val="0"/>
          <w:caps w:val="0"/>
          <w:spacing w:val="0"/>
          <w:sz w:val="44"/>
          <w:szCs w:val="44"/>
          <w:lang w:val="en-US" w:eastAsia="zh-CN"/>
        </w:rPr>
        <w:t>计划清单</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0" w:lineRule="exact"/>
        <w:ind w:right="0" w:rightChars="0"/>
        <w:jc w:val="both"/>
        <w:textAlignment w:val="auto"/>
        <w:outlineLvl w:val="0"/>
        <w:rPr>
          <w:rFonts w:hint="default" w:ascii="Times New Roman" w:hAnsi="Times New Roman" w:eastAsia="方正仿宋_GBK" w:cs="Times New Roman"/>
          <w:i w:val="0"/>
          <w:caps w:val="0"/>
          <w:spacing w:val="0"/>
          <w:sz w:val="30"/>
          <w:szCs w:val="30"/>
          <w:lang w:val="en-US" w:eastAsia="zh-CN"/>
        </w:rPr>
      </w:pPr>
      <w:r>
        <w:rPr>
          <w:rFonts w:hint="default" w:ascii="Times New Roman" w:hAnsi="Times New Roman" w:eastAsia="方正仿宋_GBK" w:cs="Times New Roman"/>
          <w:i w:val="0"/>
          <w:caps w:val="0"/>
          <w:spacing w:val="0"/>
          <w:sz w:val="24"/>
          <w:szCs w:val="24"/>
          <w:vertAlign w:val="baseline"/>
          <w:lang w:val="en-US" w:eastAsia="zh-CN"/>
        </w:rPr>
        <w:t>填报单位：                                                                     联系人及电话：</w:t>
      </w:r>
    </w:p>
    <w:tbl>
      <w:tblPr>
        <w:tblStyle w:val="6"/>
        <w:tblW w:w="14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501"/>
        <w:gridCol w:w="1555"/>
        <w:gridCol w:w="1446"/>
        <w:gridCol w:w="1893"/>
        <w:gridCol w:w="1410"/>
        <w:gridCol w:w="1469"/>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948"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i w:val="0"/>
                <w:caps w:val="0"/>
                <w:spacing w:val="0"/>
                <w:sz w:val="24"/>
                <w:szCs w:val="24"/>
                <w:vertAlign w:val="baseline"/>
                <w:lang w:val="en-US" w:eastAsia="zh-CN"/>
              </w:rPr>
            </w:pPr>
            <w:r>
              <w:rPr>
                <w:rFonts w:hint="default" w:ascii="Times New Roman" w:hAnsi="Times New Roman" w:eastAsia="方正仿宋_GBK" w:cs="Times New Roman"/>
                <w:b/>
                <w:bCs/>
                <w:i w:val="0"/>
                <w:caps w:val="0"/>
                <w:spacing w:val="0"/>
                <w:sz w:val="24"/>
                <w:szCs w:val="24"/>
                <w:vertAlign w:val="baseline"/>
                <w:lang w:val="en-US" w:eastAsia="zh-CN"/>
              </w:rPr>
              <w:t>序 号</w:t>
            </w:r>
          </w:p>
        </w:tc>
        <w:tc>
          <w:tcPr>
            <w:tcW w:w="2501"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i w:val="0"/>
                <w:caps w:val="0"/>
                <w:spacing w:val="0"/>
                <w:sz w:val="24"/>
                <w:szCs w:val="24"/>
                <w:vertAlign w:val="baseline"/>
                <w:lang w:val="en-US" w:eastAsia="zh-CN"/>
              </w:rPr>
            </w:pPr>
            <w:r>
              <w:rPr>
                <w:rFonts w:hint="default" w:ascii="Times New Roman" w:hAnsi="Times New Roman" w:eastAsia="方正仿宋_GBK" w:cs="Times New Roman"/>
                <w:b/>
                <w:bCs/>
                <w:i w:val="0"/>
                <w:caps w:val="0"/>
                <w:spacing w:val="0"/>
                <w:sz w:val="24"/>
                <w:szCs w:val="24"/>
                <w:vertAlign w:val="baseline"/>
                <w:lang w:val="en-US" w:eastAsia="zh-CN"/>
              </w:rPr>
              <w:t>项目名称</w:t>
            </w:r>
          </w:p>
        </w:tc>
        <w:tc>
          <w:tcPr>
            <w:tcW w:w="1555"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i w:val="0"/>
                <w:caps w:val="0"/>
                <w:spacing w:val="0"/>
                <w:sz w:val="24"/>
                <w:szCs w:val="24"/>
                <w:vertAlign w:val="baseline"/>
                <w:lang w:val="en-US" w:eastAsia="zh-CN"/>
              </w:rPr>
              <w:t>实施单位</w:t>
            </w:r>
          </w:p>
        </w:tc>
        <w:tc>
          <w:tcPr>
            <w:tcW w:w="1446"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i w:val="0"/>
                <w:caps w:val="0"/>
                <w:spacing w:val="0"/>
                <w:sz w:val="24"/>
                <w:szCs w:val="24"/>
                <w:vertAlign w:val="baseline"/>
                <w:lang w:val="en-US" w:eastAsia="zh-CN"/>
              </w:rPr>
            </w:pPr>
            <w:r>
              <w:rPr>
                <w:rFonts w:hint="default" w:ascii="Times New Roman" w:hAnsi="Times New Roman" w:eastAsia="方正仿宋_GBK" w:cs="Times New Roman"/>
                <w:b/>
                <w:bCs/>
                <w:i w:val="0"/>
                <w:caps w:val="0"/>
                <w:spacing w:val="0"/>
                <w:sz w:val="24"/>
                <w:szCs w:val="24"/>
                <w:vertAlign w:val="baseline"/>
                <w:lang w:val="en-US" w:eastAsia="zh-CN"/>
              </w:rPr>
              <w:t>预算金额（万元）</w:t>
            </w:r>
          </w:p>
        </w:tc>
        <w:tc>
          <w:tcPr>
            <w:tcW w:w="1893"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i w:val="0"/>
                <w:caps w:val="0"/>
                <w:spacing w:val="0"/>
                <w:sz w:val="24"/>
                <w:szCs w:val="24"/>
                <w:vertAlign w:val="baseline"/>
                <w:lang w:val="en-US" w:eastAsia="zh-CN"/>
              </w:rPr>
            </w:pPr>
            <w:r>
              <w:rPr>
                <w:rFonts w:hint="default" w:ascii="Times New Roman" w:hAnsi="Times New Roman" w:eastAsia="方正仿宋_GBK" w:cs="Times New Roman"/>
                <w:b/>
                <w:bCs/>
                <w:i w:val="0"/>
                <w:caps w:val="0"/>
                <w:spacing w:val="0"/>
                <w:sz w:val="24"/>
                <w:szCs w:val="24"/>
                <w:vertAlign w:val="baseline"/>
                <w:lang w:val="en-US" w:eastAsia="zh-CN"/>
              </w:rPr>
              <w:t>预计采购</w:t>
            </w:r>
          </w:p>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b/>
                <w:bCs/>
                <w:i w:val="0"/>
                <w:caps w:val="0"/>
                <w:spacing w:val="0"/>
                <w:sz w:val="24"/>
                <w:szCs w:val="24"/>
                <w:vertAlign w:val="baseline"/>
                <w:lang w:val="en-US" w:eastAsia="zh-CN"/>
              </w:rPr>
              <w:t>开始时间</w:t>
            </w:r>
          </w:p>
        </w:tc>
        <w:tc>
          <w:tcPr>
            <w:tcW w:w="1410"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i w:val="0"/>
                <w:caps w:val="0"/>
                <w:spacing w:val="0"/>
                <w:sz w:val="24"/>
                <w:szCs w:val="24"/>
                <w:vertAlign w:val="baseline"/>
                <w:lang w:val="en-US" w:eastAsia="zh-CN"/>
              </w:rPr>
            </w:pPr>
            <w:r>
              <w:rPr>
                <w:rFonts w:hint="default" w:ascii="Times New Roman" w:hAnsi="Times New Roman" w:eastAsia="方正仿宋_GBK" w:cs="Times New Roman"/>
                <w:b/>
                <w:bCs/>
                <w:i w:val="0"/>
                <w:caps w:val="0"/>
                <w:spacing w:val="0"/>
                <w:sz w:val="24"/>
                <w:szCs w:val="24"/>
                <w:vertAlign w:val="baseline"/>
                <w:lang w:val="en-US" w:eastAsia="zh-CN"/>
              </w:rPr>
              <w:t>采购方式</w:t>
            </w:r>
          </w:p>
        </w:tc>
        <w:tc>
          <w:tcPr>
            <w:tcW w:w="1469"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i w:val="0"/>
                <w:caps w:val="0"/>
                <w:spacing w:val="0"/>
                <w:sz w:val="24"/>
                <w:szCs w:val="24"/>
                <w:vertAlign w:val="baseline"/>
                <w:lang w:val="en-US" w:eastAsia="zh-CN"/>
              </w:rPr>
            </w:pPr>
            <w:r>
              <w:rPr>
                <w:rFonts w:hint="default" w:ascii="Times New Roman" w:hAnsi="Times New Roman" w:eastAsia="方正仿宋_GBK" w:cs="Times New Roman"/>
                <w:b/>
                <w:bCs/>
                <w:i w:val="0"/>
                <w:caps w:val="0"/>
                <w:spacing w:val="0"/>
                <w:sz w:val="24"/>
                <w:szCs w:val="24"/>
                <w:vertAlign w:val="baseline"/>
                <w:lang w:val="en-US" w:eastAsia="zh-CN"/>
              </w:rPr>
              <w:t>预留比例</w:t>
            </w:r>
          </w:p>
        </w:tc>
        <w:tc>
          <w:tcPr>
            <w:tcW w:w="2926"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b/>
                <w:bCs/>
                <w:i w:val="0"/>
                <w:caps w:val="0"/>
                <w:spacing w:val="0"/>
                <w:sz w:val="24"/>
                <w:szCs w:val="24"/>
                <w:vertAlign w:val="baseline"/>
                <w:lang w:val="en-US" w:eastAsia="zh-CN"/>
              </w:rPr>
            </w:pPr>
            <w:r>
              <w:rPr>
                <w:rFonts w:hint="default" w:ascii="Times New Roman" w:hAnsi="Times New Roman" w:eastAsia="方正仿宋_GBK" w:cs="Times New Roman"/>
                <w:b/>
                <w:bCs/>
                <w:i w:val="0"/>
                <w:caps w:val="0"/>
                <w:spacing w:val="0"/>
                <w:sz w:val="24"/>
                <w:szCs w:val="24"/>
                <w:vertAlign w:val="baseline"/>
                <w:lang w:val="en-US" w:eastAsia="zh-CN"/>
              </w:rPr>
              <w:t>预留份额执行方式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948"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c>
          <w:tcPr>
            <w:tcW w:w="2501"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c>
          <w:tcPr>
            <w:tcW w:w="1555"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rPr>
            </w:pPr>
          </w:p>
        </w:tc>
        <w:tc>
          <w:tcPr>
            <w:tcW w:w="1446"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c>
          <w:tcPr>
            <w:tcW w:w="1893"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rPr>
            </w:pPr>
          </w:p>
        </w:tc>
        <w:tc>
          <w:tcPr>
            <w:tcW w:w="1410"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c>
          <w:tcPr>
            <w:tcW w:w="1469"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c>
          <w:tcPr>
            <w:tcW w:w="2926"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948"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c>
          <w:tcPr>
            <w:tcW w:w="2501"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c>
          <w:tcPr>
            <w:tcW w:w="1555"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rPr>
            </w:pPr>
          </w:p>
        </w:tc>
        <w:tc>
          <w:tcPr>
            <w:tcW w:w="1446"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c>
          <w:tcPr>
            <w:tcW w:w="1893"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rPr>
            </w:pPr>
          </w:p>
        </w:tc>
        <w:tc>
          <w:tcPr>
            <w:tcW w:w="1410"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c>
          <w:tcPr>
            <w:tcW w:w="1469"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c>
          <w:tcPr>
            <w:tcW w:w="2926"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948"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c>
          <w:tcPr>
            <w:tcW w:w="2501"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c>
          <w:tcPr>
            <w:tcW w:w="1555"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rPr>
            </w:pPr>
          </w:p>
        </w:tc>
        <w:tc>
          <w:tcPr>
            <w:tcW w:w="1446"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c>
          <w:tcPr>
            <w:tcW w:w="1893"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rPr>
            </w:pPr>
          </w:p>
        </w:tc>
        <w:tc>
          <w:tcPr>
            <w:tcW w:w="1410"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c>
          <w:tcPr>
            <w:tcW w:w="1469"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c>
          <w:tcPr>
            <w:tcW w:w="2926" w:type="dxa"/>
            <w:vAlign w:val="center"/>
          </w:tcPr>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spacing w:val="0"/>
                <w:sz w:val="30"/>
                <w:szCs w:val="30"/>
                <w:vertAlign w:val="baseline"/>
                <w:lang w:val="en-US" w:eastAsia="zh-CN"/>
              </w:rPr>
            </w:pPr>
          </w:p>
        </w:tc>
      </w:tr>
    </w:tbl>
    <w:p>
      <w:pPr>
        <w:pStyle w:val="4"/>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0" w:lineRule="exact"/>
        <w:ind w:left="0" w:leftChars="0" w:right="0" w:rightChars="0" w:firstLine="0" w:firstLineChars="0"/>
        <w:jc w:val="both"/>
        <w:textAlignment w:val="auto"/>
        <w:outlineLvl w:val="9"/>
        <w:rPr>
          <w:rFonts w:hint="eastAsia" w:ascii="方正仿宋_GBK" w:hAnsi="方正仿宋_GBK" w:eastAsia="方正仿宋_GBK" w:cs="方正仿宋_GBK"/>
        </w:rPr>
      </w:pPr>
      <w:r>
        <w:rPr>
          <w:rFonts w:hint="default" w:ascii="Times New Roman" w:hAnsi="Times New Roman" w:eastAsia="方正仿宋_GBK" w:cs="Times New Roman"/>
          <w:i w:val="0"/>
          <w:caps w:val="0"/>
          <w:spacing w:val="0"/>
          <w:sz w:val="21"/>
          <w:szCs w:val="21"/>
          <w:lang w:val="en-US" w:eastAsia="zh-CN"/>
        </w:rPr>
        <w:t xml:space="preserve">  </w:t>
      </w:r>
      <w:r>
        <w:rPr>
          <w:rFonts w:hint="eastAsia" w:ascii="方正仿宋_GBK" w:hAnsi="方正仿宋_GBK" w:eastAsia="方正仿宋_GBK" w:cs="方正仿宋_GBK"/>
          <w:i w:val="0"/>
          <w:caps w:val="0"/>
          <w:spacing w:val="0"/>
          <w:sz w:val="21"/>
          <w:szCs w:val="21"/>
          <w:lang w:val="en-US" w:eastAsia="zh-CN"/>
        </w:rPr>
        <w:t xml:space="preserve">  注：“预留份额执行方式”可选择“</w:t>
      </w:r>
      <w:r>
        <w:rPr>
          <w:rFonts w:hint="eastAsia" w:ascii="方正仿宋_GBK" w:hAnsi="方正仿宋_GBK" w:eastAsia="方正仿宋_GBK" w:cs="方正仿宋_GBK"/>
          <w:sz w:val="21"/>
          <w:szCs w:val="21"/>
          <w:lang w:val="en-US" w:eastAsia="zh-CN"/>
        </w:rPr>
        <w:t>设置采购包专门面向中小企业采购</w:t>
      </w:r>
      <w:r>
        <w:rPr>
          <w:rFonts w:hint="eastAsia" w:ascii="方正仿宋_GBK" w:hAnsi="方正仿宋_GBK" w:eastAsia="方正仿宋_GBK" w:cs="方正仿宋_GBK"/>
          <w:i w:val="0"/>
          <w:caps w:val="0"/>
          <w:spacing w:val="0"/>
          <w:sz w:val="21"/>
          <w:szCs w:val="21"/>
          <w:lang w:val="en-US" w:eastAsia="zh-CN"/>
        </w:rPr>
        <w:t>”</w:t>
      </w:r>
      <w:r>
        <w:rPr>
          <w:rFonts w:hint="eastAsia" w:ascii="方正仿宋_GBK" w:hAnsi="方正仿宋_GBK" w:eastAsia="方正仿宋_GBK" w:cs="方正仿宋_GBK"/>
          <w:sz w:val="21"/>
          <w:szCs w:val="21"/>
          <w:lang w:val="en-US" w:eastAsia="zh-CN"/>
        </w:rPr>
        <w:t>，“要求与中小企业组成联合体”，“中标（成交）后分包给中小企业”三种方式其中之一。</w:t>
      </w: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sectPr>
          <w:pgSz w:w="16838" w:h="11906" w:orient="landscape"/>
          <w:pgMar w:top="1803" w:right="1440" w:bottom="1803" w:left="1440" w:header="851" w:footer="992" w:gutter="0"/>
          <w:pgNumType w:fmt="decimal"/>
          <w:cols w:space="0" w:num="1"/>
          <w:rtlGutter w:val="0"/>
          <w:docGrid w:type="lines" w:linePitch="319" w:charSpace="0"/>
        </w:sect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sectPr>
          <w:footerReference r:id="rId5" w:type="default"/>
          <w:footerReference r:id="rId6" w:type="even"/>
          <w:pgSz w:w="11906" w:h="16838"/>
          <w:pgMar w:top="2041" w:right="1474" w:bottom="1304" w:left="1587" w:header="851" w:footer="992" w:gutter="0"/>
          <w:pgNumType w:fmt="decimal"/>
          <w:cols w:space="0" w:num="1"/>
          <w:rtlGutter w:val="0"/>
          <w:docGrid w:type="lines" w:linePitch="319" w:charSpace="0"/>
        </w:sect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kinsoku/>
        <w:overflowPunct/>
        <w:topLinePunct w:val="0"/>
        <w:autoSpaceDE/>
        <w:autoSpaceDN/>
        <w:bidi w:val="0"/>
        <w:adjustRightInd/>
        <w:snapToGrid/>
        <w:spacing w:beforeAutospacing="0" w:afterAutospacing="0"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321945</wp:posOffset>
                </wp:positionV>
                <wp:extent cx="568769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87695" cy="63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5pt;margin-top:25.35pt;height:0.05pt;width:447.85pt;z-index:251662336;mso-width-relative:page;mso-height-relative:page;" filled="f" stroked="t" coordsize="21600,21600" o:gfxdata="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GJBbp1gAAAAcBAAAPAAAAAAAA&#10;AAEAIAAAACIAAABkcnMvZG93bnJldi54bWxQSwECFAAUAAAACACHTuJAMl3ZZdsBAACYAwAADgAA&#10;AAAAAAABACAAAAAlAQAAZHJzL2Uyb0RvYy54bWxQSwUGAAAAAAYABgBZAQAAcgU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28575</wp:posOffset>
                </wp:positionV>
                <wp:extent cx="568769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8769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2.25pt;height:0.05pt;width:447.85pt;z-index:251663360;mso-width-relative:page;mso-height-relative:page;" filled="f" stroked="t" coordsize="21600,21600" o:gfxdata="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GHnZm1QAAAAUBAAAPAAAAAAAA&#10;AAEAIAAAACIAAABkcnMvZG93bnJldi54bWxQSwECFAAUAAAACACHTuJALEzjX9wBAACYAwAADgAA&#10;AAAAAAABACAAAAAkAQAAZHJzL2Uyb0RvYy54bWxQSwUGAAAAAAYABgBZAQAAcgUAAAAA&#10;">
                <v:fill on="f" focussize="0,0"/>
                <v:stroke weight="0.25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玉溪市财政局办公室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eastAsia"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17</w:t>
      </w:r>
      <w:r>
        <w:rPr>
          <w:rFonts w:hint="default" w:ascii="Times New Roman" w:hAnsi="Times New Roman" w:eastAsia="方正仿宋_GBK" w:cs="Times New Roman"/>
          <w:sz w:val="28"/>
          <w:szCs w:val="28"/>
        </w:rPr>
        <w:t>日印发</w:t>
      </w:r>
    </w:p>
    <w:sectPr>
      <w:footerReference r:id="rId7" w:type="default"/>
      <w:footerReference r:id="rId8" w:type="even"/>
      <w:pgSz w:w="11906" w:h="16838"/>
      <w:pgMar w:top="2041" w:right="1474" w:bottom="130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382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8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6pt;mso-position-horizontal-relative:margin;z-index:251658240;mso-width-relative:page;mso-height-relative:page;" filled="f" stroked="f" coordsize="21600,21600" o:gfxdata="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wIC2tYAAAAIAQAA&#10;DwAAAAAAAAABACAAAAAiAAAAZHJzL2Rvd25yZXYueG1sUEsBAhQAFAAAAAgAh07iQBvCltgbAgAA&#10;FAQAAA4AAAAAAAAAAQAgAAAAJQEAAGRycy9lMm9Eb2MueG1sUEsFBgAAAAAGAAYAWQEAALIFAAAA&#10;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ind w:firstLine="280" w:firstLineChars="1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54quxDkogUlSw3sgCFfaqx/VKdQ=" w:salt="W4/Bpr58zwme7YPE+B52lg=="/>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95380"/>
    <w:rsid w:val="00A22934"/>
    <w:rsid w:val="0B523B3F"/>
    <w:rsid w:val="0CBB30A1"/>
    <w:rsid w:val="10C73551"/>
    <w:rsid w:val="11950508"/>
    <w:rsid w:val="15E72617"/>
    <w:rsid w:val="1B9D77C7"/>
    <w:rsid w:val="225A2B08"/>
    <w:rsid w:val="25D343C5"/>
    <w:rsid w:val="28BD2583"/>
    <w:rsid w:val="32EF3875"/>
    <w:rsid w:val="3562384C"/>
    <w:rsid w:val="394C2F4C"/>
    <w:rsid w:val="39C97378"/>
    <w:rsid w:val="3ACB6FFF"/>
    <w:rsid w:val="3D8973CD"/>
    <w:rsid w:val="3FDA1F12"/>
    <w:rsid w:val="43DB336E"/>
    <w:rsid w:val="53801953"/>
    <w:rsid w:val="58110A2E"/>
    <w:rsid w:val="5E5B519A"/>
    <w:rsid w:val="61C51B80"/>
    <w:rsid w:val="62F8613A"/>
    <w:rsid w:val="64744F0F"/>
    <w:rsid w:val="69D42961"/>
    <w:rsid w:val="6E015757"/>
    <w:rsid w:val="6F8B5D0E"/>
    <w:rsid w:val="78A95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2022-06-14T03:05:00Z</dcterms:created>
  <dc:creator>Administrate</dc:creator>
  <cp:lastModifiedBy>施蕊</cp:lastModifiedBy>
  <cp:lastPrinted>2022-06-17T07:26:00Z</cp:lastPrinted>
  <dcterms:modified xsi:type="dcterms:W3CDTF">2022-06-17T08:03:39Z</dcterms:modified>
  <dc:title>玉溪市财政局关于贯彻财政部进一步加大政府采购支持中小企业力度的通知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49EDA1CE47CE45ABB6D636286C9AD261</vt:lpwstr>
  </property>
</Properties>
</file>