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方正小标宋_GBK" w:hAnsi="方正小标宋_GBK" w:eastAsia="方正小标宋_GBK" w:cs="方正小标宋_GBK"/>
          <w:i w:val="0"/>
          <w:iCs w:val="0"/>
          <w:caps w:val="0"/>
          <w:color w:val="000000"/>
          <w:spacing w:val="0"/>
          <w:kern w:val="0"/>
          <w:sz w:val="44"/>
          <w:szCs w:val="44"/>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44"/>
          <w:szCs w:val="44"/>
          <w:shd w:val="clear" w:fill="FFFFFF"/>
          <w:lang w:val="en-US" w:eastAsia="zh-CN" w:bidi="ar"/>
        </w:rPr>
        <w:t>新平县2022年全国电子商务进农村综合示范项目工作进度表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sz w:val="27"/>
          <w:szCs w:val="27"/>
        </w:rPr>
      </w:pPr>
      <w:r>
        <w:rPr>
          <w:rFonts w:hint="eastAsia" w:ascii="方正小标宋_GBK" w:hAnsi="方正小标宋_GBK" w:eastAsia="方正小标宋_GBK" w:cs="方正小标宋_GBK"/>
          <w:i w:val="0"/>
          <w:iCs w:val="0"/>
          <w:caps w:val="0"/>
          <w:color w:val="000000"/>
          <w:spacing w:val="0"/>
          <w:kern w:val="0"/>
          <w:sz w:val="44"/>
          <w:szCs w:val="44"/>
          <w:shd w:val="clear" w:fill="FFFFFF"/>
          <w:lang w:val="en-US" w:eastAsia="zh-CN" w:bidi="ar"/>
        </w:rPr>
        <w:t>2022年6月</w:t>
      </w:r>
    </w:p>
    <w:tbl>
      <w:tblPr>
        <w:tblStyle w:val="6"/>
        <w:tblW w:w="15906" w:type="dxa"/>
        <w:jc w:val="center"/>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87"/>
        <w:gridCol w:w="1492"/>
        <w:gridCol w:w="3003"/>
        <w:gridCol w:w="2115"/>
        <w:gridCol w:w="1197"/>
        <w:gridCol w:w="855"/>
        <w:gridCol w:w="938"/>
        <w:gridCol w:w="2403"/>
        <w:gridCol w:w="720"/>
        <w:gridCol w:w="1417"/>
        <w:gridCol w:w="1079"/>
      </w:tblGrid>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15906" w:type="dxa"/>
            <w:gridSpan w:val="11"/>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发布单位：新平县商务局                                                                                                              时间：2022年 6 月 30 日</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40" w:hRule="atLeast"/>
          <w:jc w:val="center"/>
        </w:trPr>
        <w:tc>
          <w:tcPr>
            <w:tcW w:w="687"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序号</w:t>
            </w:r>
          </w:p>
        </w:tc>
        <w:tc>
          <w:tcPr>
            <w:tcW w:w="1492"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项目名称</w:t>
            </w:r>
          </w:p>
        </w:tc>
        <w:tc>
          <w:tcPr>
            <w:tcW w:w="3003"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建设内容</w:t>
            </w:r>
          </w:p>
        </w:tc>
        <w:tc>
          <w:tcPr>
            <w:tcW w:w="2115"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绩效目标</w:t>
            </w:r>
          </w:p>
        </w:tc>
        <w:tc>
          <w:tcPr>
            <w:tcW w:w="1197"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计划拨付资金（万元）</w:t>
            </w:r>
          </w:p>
        </w:tc>
        <w:tc>
          <w:tcPr>
            <w:tcW w:w="855"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已拨付（万元）</w:t>
            </w:r>
          </w:p>
        </w:tc>
        <w:tc>
          <w:tcPr>
            <w:tcW w:w="938"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未拨付（万元）</w:t>
            </w:r>
          </w:p>
        </w:tc>
        <w:tc>
          <w:tcPr>
            <w:tcW w:w="2403"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建设进展</w:t>
            </w:r>
          </w:p>
        </w:tc>
        <w:tc>
          <w:tcPr>
            <w:tcW w:w="720"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完成率</w:t>
            </w:r>
          </w:p>
        </w:tc>
        <w:tc>
          <w:tcPr>
            <w:tcW w:w="1417"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决策文件</w:t>
            </w:r>
          </w:p>
        </w:tc>
        <w:tc>
          <w:tcPr>
            <w:tcW w:w="1079"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承办单位及负责人</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50" w:hRule="atLeast"/>
          <w:jc w:val="center"/>
        </w:trPr>
        <w:tc>
          <w:tcPr>
            <w:tcW w:w="687"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1</w:t>
            </w:r>
          </w:p>
        </w:tc>
        <w:tc>
          <w:tcPr>
            <w:tcW w:w="1492"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农村电子商务公共服务体系</w:t>
            </w:r>
          </w:p>
        </w:tc>
        <w:tc>
          <w:tcPr>
            <w:tcW w:w="3003"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jc w:val="left"/>
              <w:rPr>
                <w:rFonts w:hint="default" w:ascii="宋体" w:hAnsi="宋体" w:eastAsia="宋体" w:cs="宋体"/>
                <w:sz w:val="20"/>
                <w:szCs w:val="20"/>
                <w:lang w:val="en-US"/>
              </w:rPr>
            </w:pPr>
            <w:r>
              <w:rPr>
                <w:rFonts w:hint="eastAsia" w:ascii="宋体" w:hAnsi="宋体" w:eastAsia="宋体" w:cs="宋体"/>
                <w:sz w:val="20"/>
                <w:szCs w:val="20"/>
                <w:lang w:val="en-US" w:eastAsia="zh-CN"/>
              </w:rPr>
              <w:t>1.</w:t>
            </w:r>
            <w:r>
              <w:rPr>
                <w:rFonts w:hint="default" w:ascii="宋体" w:hAnsi="宋体" w:eastAsia="宋体" w:cs="宋体"/>
                <w:sz w:val="20"/>
                <w:szCs w:val="20"/>
                <w:lang w:val="en-US" w:eastAsia="zh-CN"/>
              </w:rPr>
              <w:t>整合利用现有场地资源，改造提升1个新平县电子商务公共服务中</w:t>
            </w:r>
            <w:r>
              <w:rPr>
                <w:rFonts w:hint="eastAsia" w:ascii="宋体" w:hAnsi="宋体" w:eastAsia="宋体" w:cs="宋体"/>
                <w:sz w:val="20"/>
                <w:szCs w:val="20"/>
                <w:lang w:val="en-US" w:eastAsia="zh-CN"/>
              </w:rPr>
              <w:t>心，设立数据处理、人才培训、农特产品展示展销、企业集聚、创客孵化、产品研发设计、网络直播</w:t>
            </w:r>
            <w:r>
              <w:rPr>
                <w:rFonts w:hint="default" w:ascii="宋体" w:hAnsi="宋体" w:eastAsia="宋体" w:cs="宋体"/>
                <w:sz w:val="20"/>
                <w:szCs w:val="20"/>
                <w:lang w:val="en-US" w:eastAsia="zh-CN"/>
              </w:rPr>
              <w:t>等功能区域；引进具备运营条件的团队负责管理，构建线上电子商务公共服务平台，建设线上线下融</w:t>
            </w:r>
            <w:r>
              <w:rPr>
                <w:rFonts w:hint="eastAsia" w:ascii="宋体" w:hAnsi="宋体" w:eastAsia="宋体" w:cs="宋体"/>
                <w:sz w:val="20"/>
                <w:szCs w:val="20"/>
                <w:lang w:val="en-US" w:eastAsia="zh-CN"/>
              </w:rPr>
              <w:t>合的公共服务体系。2.</w:t>
            </w:r>
            <w:r>
              <w:rPr>
                <w:rFonts w:hint="default" w:ascii="宋体" w:hAnsi="宋体" w:eastAsia="宋体" w:cs="宋体"/>
                <w:sz w:val="20"/>
                <w:szCs w:val="20"/>
                <w:lang w:val="en-US" w:eastAsia="zh-CN"/>
              </w:rPr>
              <w:t>整合现有的供销、邮政、快递、商超、合作社、选果厂、兴边富</w:t>
            </w:r>
            <w:r>
              <w:rPr>
                <w:rFonts w:hint="eastAsia" w:ascii="宋体" w:hAnsi="宋体" w:eastAsia="宋体" w:cs="宋体"/>
                <w:sz w:val="20"/>
                <w:szCs w:val="20"/>
                <w:lang w:val="en-US" w:eastAsia="zh-CN"/>
              </w:rPr>
              <w:t>民点等资源，在</w:t>
            </w:r>
            <w:r>
              <w:rPr>
                <w:rFonts w:hint="default" w:ascii="宋体" w:hAnsi="宋体" w:eastAsia="宋体" w:cs="宋体"/>
                <w:sz w:val="20"/>
                <w:szCs w:val="20"/>
                <w:lang w:val="en-US" w:eastAsia="zh-CN"/>
              </w:rPr>
              <w:t>10</w:t>
            </w:r>
            <w:r>
              <w:rPr>
                <w:rFonts w:hint="eastAsia" w:ascii="宋体" w:hAnsi="宋体" w:eastAsia="宋体" w:cs="宋体"/>
                <w:sz w:val="20"/>
                <w:szCs w:val="20"/>
                <w:lang w:val="en-US" w:eastAsia="zh-CN"/>
              </w:rPr>
              <w:t>个乡镇建设电子商务服务站，实现乡镇级电子商务服务站覆盖率</w:t>
            </w:r>
            <w:r>
              <w:rPr>
                <w:rFonts w:hint="default" w:ascii="宋体" w:hAnsi="宋体" w:eastAsia="宋体" w:cs="宋体"/>
                <w:sz w:val="20"/>
                <w:szCs w:val="20"/>
                <w:lang w:val="en-US" w:eastAsia="zh-CN"/>
              </w:rPr>
              <w:t>100%</w:t>
            </w:r>
            <w:r>
              <w:rPr>
                <w:rFonts w:hint="eastAsia" w:ascii="宋体" w:hAnsi="宋体" w:eastAsia="宋体" w:cs="宋体"/>
                <w:sz w:val="20"/>
                <w:szCs w:val="20"/>
                <w:lang w:val="en-US" w:eastAsia="zh-CN"/>
              </w:rPr>
              <w:t>；建设完成村级电子商务服务点</w:t>
            </w:r>
            <w:r>
              <w:rPr>
                <w:rFonts w:hint="default" w:ascii="宋体" w:hAnsi="宋体" w:eastAsia="宋体" w:cs="宋体"/>
                <w:sz w:val="20"/>
                <w:szCs w:val="20"/>
                <w:lang w:val="en-US" w:eastAsia="zh-CN"/>
              </w:rPr>
              <w:t>40</w:t>
            </w:r>
            <w:r>
              <w:rPr>
                <w:rFonts w:hint="eastAsia" w:ascii="宋体" w:hAnsi="宋体" w:eastAsia="宋体" w:cs="宋体"/>
                <w:sz w:val="20"/>
                <w:szCs w:val="20"/>
                <w:lang w:val="en-US" w:eastAsia="zh-CN"/>
              </w:rPr>
              <w:t>个，实现村级电子商务站点服务覆盖率达到</w:t>
            </w:r>
            <w:r>
              <w:rPr>
                <w:rFonts w:hint="default" w:ascii="宋体" w:hAnsi="宋体" w:eastAsia="宋体" w:cs="宋体"/>
                <w:sz w:val="20"/>
                <w:szCs w:val="20"/>
                <w:lang w:val="en-US" w:eastAsia="zh-CN"/>
              </w:rPr>
              <w:t>50%</w:t>
            </w:r>
            <w:r>
              <w:rPr>
                <w:rFonts w:hint="eastAsia" w:ascii="宋体" w:hAnsi="宋体" w:eastAsia="宋体" w:cs="宋体"/>
                <w:sz w:val="20"/>
                <w:szCs w:val="20"/>
                <w:lang w:val="en-US" w:eastAsia="zh-CN"/>
              </w:rPr>
              <w:t>以上。3.农产品供应链与营销体系建设。4.健全三级运营管理制度。</w:t>
            </w:r>
          </w:p>
        </w:tc>
        <w:tc>
          <w:tcPr>
            <w:tcW w:w="2115"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jc w:val="left"/>
              <w:rPr>
                <w:rFonts w:hint="default" w:ascii="宋体" w:hAnsi="宋体" w:eastAsia="宋体" w:cs="宋体"/>
                <w:sz w:val="20"/>
                <w:szCs w:val="20"/>
                <w:lang w:val="en-US"/>
              </w:rPr>
            </w:pPr>
            <w:r>
              <w:rPr>
                <w:rFonts w:hint="default" w:ascii="宋体" w:hAnsi="宋体" w:eastAsia="宋体" w:cs="宋体"/>
                <w:sz w:val="20"/>
                <w:szCs w:val="20"/>
                <w:lang w:val="en-US" w:eastAsia="zh-CN"/>
              </w:rPr>
              <w:t>指标1：县级电子商务公共服务中心</w:t>
            </w:r>
            <w:r>
              <w:rPr>
                <w:rFonts w:hint="eastAsia" w:ascii="宋体" w:hAnsi="宋体" w:eastAsia="宋体" w:cs="宋体"/>
                <w:sz w:val="20"/>
                <w:szCs w:val="20"/>
                <w:lang w:val="en-US" w:eastAsia="zh-CN"/>
              </w:rPr>
              <w:t>：</w:t>
            </w:r>
            <w:r>
              <w:rPr>
                <w:rFonts w:hint="default" w:ascii="宋体" w:hAnsi="宋体" w:eastAsia="宋体" w:cs="宋体"/>
                <w:sz w:val="20"/>
                <w:szCs w:val="20"/>
                <w:lang w:val="en-US" w:eastAsia="zh-CN"/>
              </w:rPr>
              <w:t>1个</w:t>
            </w:r>
            <w:r>
              <w:rPr>
                <w:rFonts w:hint="eastAsia" w:ascii="宋体" w:hAnsi="宋体" w:eastAsia="宋体" w:cs="宋体"/>
                <w:sz w:val="20"/>
                <w:szCs w:val="20"/>
                <w:lang w:val="en-US" w:eastAsia="zh-CN"/>
              </w:rPr>
              <w:t>；</w:t>
            </w:r>
            <w:r>
              <w:rPr>
                <w:rFonts w:hint="default" w:ascii="宋体" w:hAnsi="宋体" w:eastAsia="宋体" w:cs="宋体"/>
                <w:sz w:val="20"/>
                <w:szCs w:val="20"/>
                <w:lang w:val="en-US" w:eastAsia="zh-CN"/>
              </w:rPr>
              <w:t>指标</w:t>
            </w:r>
            <w:r>
              <w:rPr>
                <w:rFonts w:hint="eastAsia" w:ascii="宋体" w:hAnsi="宋体" w:eastAsia="宋体" w:cs="宋体"/>
                <w:sz w:val="20"/>
                <w:szCs w:val="20"/>
                <w:lang w:val="en-US" w:eastAsia="zh-CN"/>
              </w:rPr>
              <w:t>2</w:t>
            </w:r>
            <w:r>
              <w:rPr>
                <w:rFonts w:hint="default" w:ascii="宋体" w:hAnsi="宋体" w:eastAsia="宋体" w:cs="宋体"/>
                <w:sz w:val="20"/>
                <w:szCs w:val="20"/>
                <w:lang w:val="en-US" w:eastAsia="zh-CN"/>
              </w:rPr>
              <w:t>：农产品网货初级加工基地（云仓中心）</w:t>
            </w:r>
            <w:r>
              <w:rPr>
                <w:rFonts w:hint="eastAsia" w:ascii="宋体" w:hAnsi="宋体" w:eastAsia="宋体" w:cs="宋体"/>
                <w:sz w:val="20"/>
                <w:szCs w:val="20"/>
                <w:lang w:val="en-US" w:eastAsia="zh-CN"/>
              </w:rPr>
              <w:t>：</w:t>
            </w:r>
            <w:r>
              <w:rPr>
                <w:rFonts w:hint="default" w:ascii="宋体" w:hAnsi="宋体" w:eastAsia="宋体" w:cs="宋体"/>
                <w:sz w:val="20"/>
                <w:szCs w:val="20"/>
                <w:lang w:val="en-US" w:eastAsia="zh-CN"/>
              </w:rPr>
              <w:t>不少于1个</w:t>
            </w:r>
            <w:r>
              <w:rPr>
                <w:rFonts w:hint="eastAsia" w:ascii="宋体" w:hAnsi="宋体" w:eastAsia="宋体" w:cs="宋体"/>
                <w:sz w:val="20"/>
                <w:szCs w:val="20"/>
                <w:lang w:val="en-US" w:eastAsia="zh-CN"/>
              </w:rPr>
              <w:t>；</w:t>
            </w:r>
            <w:r>
              <w:rPr>
                <w:rFonts w:hint="default" w:ascii="宋体" w:hAnsi="宋体" w:eastAsia="宋体" w:cs="宋体"/>
                <w:sz w:val="20"/>
                <w:szCs w:val="20"/>
                <w:lang w:val="en-US" w:eastAsia="zh-CN"/>
              </w:rPr>
              <w:t>指标</w:t>
            </w:r>
            <w:r>
              <w:rPr>
                <w:rFonts w:hint="eastAsia" w:ascii="宋体" w:hAnsi="宋体" w:eastAsia="宋体" w:cs="宋体"/>
                <w:sz w:val="20"/>
                <w:szCs w:val="20"/>
                <w:lang w:val="en-US" w:eastAsia="zh-CN"/>
              </w:rPr>
              <w:t>3</w:t>
            </w:r>
            <w:r>
              <w:rPr>
                <w:rFonts w:hint="default" w:ascii="宋体" w:hAnsi="宋体" w:eastAsia="宋体" w:cs="宋体"/>
                <w:sz w:val="20"/>
                <w:szCs w:val="20"/>
                <w:lang w:val="en-US" w:eastAsia="zh-CN"/>
              </w:rPr>
              <w:t>：乡镇级电子商务公共服务站（与物流站点合并）</w:t>
            </w:r>
            <w:r>
              <w:rPr>
                <w:rFonts w:hint="eastAsia" w:ascii="宋体" w:hAnsi="宋体" w:eastAsia="宋体" w:cs="宋体"/>
                <w:sz w:val="20"/>
                <w:szCs w:val="20"/>
                <w:lang w:val="en-US" w:eastAsia="zh-CN"/>
              </w:rPr>
              <w:t>：</w:t>
            </w:r>
            <w:r>
              <w:rPr>
                <w:rFonts w:hint="default" w:ascii="宋体" w:hAnsi="宋体" w:eastAsia="宋体" w:cs="宋体"/>
                <w:sz w:val="20"/>
                <w:szCs w:val="20"/>
                <w:lang w:val="en-US" w:eastAsia="zh-CN"/>
              </w:rPr>
              <w:t>10个</w:t>
            </w:r>
            <w:r>
              <w:rPr>
                <w:rFonts w:hint="eastAsia" w:ascii="宋体" w:hAnsi="宋体" w:eastAsia="宋体" w:cs="宋体"/>
                <w:sz w:val="20"/>
                <w:szCs w:val="20"/>
                <w:lang w:val="en-US" w:eastAsia="zh-CN"/>
              </w:rPr>
              <w:t>；</w:t>
            </w:r>
            <w:r>
              <w:rPr>
                <w:rFonts w:hint="default" w:ascii="宋体" w:hAnsi="宋体" w:eastAsia="宋体" w:cs="宋体"/>
                <w:sz w:val="20"/>
                <w:szCs w:val="20"/>
                <w:lang w:val="en-US" w:eastAsia="zh-CN"/>
              </w:rPr>
              <w:t>指标</w:t>
            </w:r>
            <w:r>
              <w:rPr>
                <w:rFonts w:hint="eastAsia" w:ascii="宋体" w:hAnsi="宋体" w:eastAsia="宋体" w:cs="宋体"/>
                <w:sz w:val="20"/>
                <w:szCs w:val="20"/>
                <w:lang w:val="en-US" w:eastAsia="zh-CN"/>
              </w:rPr>
              <w:t>4</w:t>
            </w:r>
            <w:r>
              <w:rPr>
                <w:rFonts w:hint="default" w:ascii="宋体" w:hAnsi="宋体" w:eastAsia="宋体" w:cs="宋体"/>
                <w:sz w:val="20"/>
                <w:szCs w:val="20"/>
                <w:lang w:val="en-US" w:eastAsia="zh-CN"/>
              </w:rPr>
              <w:t>：村级电子商务公共服务点（与物流站点合并）</w:t>
            </w:r>
            <w:r>
              <w:rPr>
                <w:rFonts w:hint="eastAsia" w:ascii="宋体" w:hAnsi="宋体" w:eastAsia="宋体" w:cs="宋体"/>
                <w:sz w:val="20"/>
                <w:szCs w:val="20"/>
                <w:lang w:val="en-US" w:eastAsia="zh-CN"/>
              </w:rPr>
              <w:t>：</w:t>
            </w:r>
            <w:r>
              <w:rPr>
                <w:rFonts w:hint="default" w:ascii="宋体" w:hAnsi="宋体" w:eastAsia="宋体" w:cs="宋体"/>
                <w:sz w:val="20"/>
                <w:szCs w:val="20"/>
                <w:lang w:val="en-US" w:eastAsia="zh-CN"/>
              </w:rPr>
              <w:t>40个</w:t>
            </w:r>
            <w:r>
              <w:rPr>
                <w:rFonts w:hint="eastAsia" w:ascii="宋体" w:hAnsi="宋体" w:eastAsia="宋体" w:cs="宋体"/>
                <w:sz w:val="20"/>
                <w:szCs w:val="20"/>
                <w:lang w:val="en-US" w:eastAsia="zh-CN"/>
              </w:rPr>
              <w:t>；</w:t>
            </w:r>
            <w:r>
              <w:rPr>
                <w:rFonts w:hint="default" w:ascii="宋体" w:hAnsi="宋体" w:eastAsia="宋体" w:cs="宋体"/>
                <w:sz w:val="20"/>
                <w:szCs w:val="20"/>
                <w:lang w:val="en-US" w:eastAsia="zh-CN"/>
              </w:rPr>
              <w:t>指标</w:t>
            </w:r>
            <w:r>
              <w:rPr>
                <w:rFonts w:hint="eastAsia" w:ascii="宋体" w:hAnsi="宋体" w:eastAsia="宋体" w:cs="宋体"/>
                <w:sz w:val="20"/>
                <w:szCs w:val="20"/>
                <w:lang w:val="en-US" w:eastAsia="zh-CN"/>
              </w:rPr>
              <w:t>5</w:t>
            </w:r>
            <w:r>
              <w:rPr>
                <w:rFonts w:hint="default" w:ascii="宋体" w:hAnsi="宋体" w:eastAsia="宋体" w:cs="宋体"/>
                <w:sz w:val="20"/>
                <w:szCs w:val="20"/>
                <w:lang w:val="en-US" w:eastAsia="zh-CN"/>
              </w:rPr>
              <w:t>：农村网商（含社交、移动电商用户）同比增长</w:t>
            </w:r>
            <w:r>
              <w:rPr>
                <w:rFonts w:hint="eastAsia" w:ascii="宋体" w:hAnsi="宋体" w:eastAsia="宋体" w:cs="宋体"/>
                <w:sz w:val="20"/>
                <w:szCs w:val="20"/>
                <w:lang w:val="en-US" w:eastAsia="zh-CN"/>
              </w:rPr>
              <w:t>：</w:t>
            </w:r>
            <w:r>
              <w:rPr>
                <w:rFonts w:hint="default" w:ascii="宋体" w:hAnsi="宋体" w:eastAsia="宋体" w:cs="宋体"/>
                <w:sz w:val="20"/>
                <w:szCs w:val="20"/>
                <w:lang w:val="en-US" w:eastAsia="zh-CN"/>
              </w:rPr>
              <w:t>大于3%</w:t>
            </w:r>
            <w:r>
              <w:rPr>
                <w:rFonts w:hint="eastAsia" w:ascii="宋体" w:hAnsi="宋体" w:eastAsia="宋体" w:cs="宋体"/>
                <w:sz w:val="20"/>
                <w:szCs w:val="20"/>
                <w:lang w:val="en-US" w:eastAsia="zh-CN"/>
              </w:rPr>
              <w:t>；</w:t>
            </w:r>
            <w:r>
              <w:rPr>
                <w:rFonts w:hint="default" w:ascii="宋体" w:hAnsi="宋体" w:eastAsia="宋体" w:cs="宋体"/>
                <w:sz w:val="20"/>
                <w:szCs w:val="20"/>
                <w:lang w:val="en-US" w:eastAsia="zh-CN"/>
              </w:rPr>
              <w:t>指标</w:t>
            </w:r>
            <w:r>
              <w:rPr>
                <w:rFonts w:hint="eastAsia" w:ascii="宋体" w:hAnsi="宋体" w:eastAsia="宋体" w:cs="宋体"/>
                <w:sz w:val="20"/>
                <w:szCs w:val="20"/>
                <w:lang w:val="en-US" w:eastAsia="zh-CN"/>
              </w:rPr>
              <w:t>6</w:t>
            </w:r>
            <w:r>
              <w:rPr>
                <w:rFonts w:hint="default" w:ascii="宋体" w:hAnsi="宋体" w:eastAsia="宋体" w:cs="宋体"/>
                <w:sz w:val="20"/>
                <w:szCs w:val="20"/>
                <w:lang w:val="en-US" w:eastAsia="zh-CN"/>
              </w:rPr>
              <w:t>：整合或创建新平县区域公共品牌</w:t>
            </w:r>
            <w:r>
              <w:rPr>
                <w:rFonts w:hint="eastAsia" w:ascii="宋体" w:hAnsi="宋体" w:eastAsia="宋体" w:cs="宋体"/>
                <w:sz w:val="20"/>
                <w:szCs w:val="20"/>
                <w:lang w:val="en-US" w:eastAsia="zh-CN"/>
              </w:rPr>
              <w:t>：</w:t>
            </w:r>
            <w:r>
              <w:rPr>
                <w:rFonts w:hint="default" w:ascii="宋体" w:hAnsi="宋体" w:eastAsia="宋体" w:cs="宋体"/>
                <w:sz w:val="20"/>
                <w:szCs w:val="20"/>
                <w:lang w:val="en-US" w:eastAsia="zh-CN"/>
              </w:rPr>
              <w:t>1个</w:t>
            </w:r>
            <w:r>
              <w:rPr>
                <w:rFonts w:hint="eastAsia" w:ascii="宋体" w:hAnsi="宋体" w:eastAsia="宋体" w:cs="宋体"/>
                <w:sz w:val="20"/>
                <w:szCs w:val="20"/>
                <w:lang w:val="en-US" w:eastAsia="zh-CN"/>
              </w:rPr>
              <w:t>；</w:t>
            </w:r>
            <w:r>
              <w:rPr>
                <w:rFonts w:hint="default" w:ascii="宋体" w:hAnsi="宋体" w:eastAsia="宋体" w:cs="宋体"/>
                <w:sz w:val="20"/>
                <w:szCs w:val="20"/>
                <w:lang w:val="en-US" w:eastAsia="zh-CN"/>
              </w:rPr>
              <w:t>指标</w:t>
            </w:r>
            <w:r>
              <w:rPr>
                <w:rFonts w:hint="eastAsia" w:ascii="宋体" w:hAnsi="宋体" w:eastAsia="宋体" w:cs="宋体"/>
                <w:sz w:val="20"/>
                <w:szCs w:val="20"/>
                <w:lang w:val="en-US" w:eastAsia="zh-CN"/>
              </w:rPr>
              <w:t>7</w:t>
            </w:r>
            <w:r>
              <w:rPr>
                <w:rFonts w:hint="default" w:ascii="宋体" w:hAnsi="宋体" w:eastAsia="宋体" w:cs="宋体"/>
                <w:sz w:val="20"/>
                <w:szCs w:val="20"/>
                <w:lang w:val="en-US" w:eastAsia="zh-CN"/>
              </w:rPr>
              <w:t>：培育完整的新平</w:t>
            </w:r>
            <w:r>
              <w:rPr>
                <w:rFonts w:hint="eastAsia" w:ascii="宋体" w:hAnsi="宋体" w:eastAsia="宋体" w:cs="宋体"/>
                <w:sz w:val="20"/>
                <w:szCs w:val="20"/>
                <w:lang w:val="en-US" w:eastAsia="zh-CN"/>
              </w:rPr>
              <w:t>柑橘</w:t>
            </w:r>
            <w:r>
              <w:rPr>
                <w:rFonts w:hint="default" w:ascii="宋体" w:hAnsi="宋体" w:eastAsia="宋体" w:cs="宋体"/>
                <w:sz w:val="20"/>
                <w:szCs w:val="20"/>
                <w:lang w:val="en-US" w:eastAsia="zh-CN"/>
              </w:rPr>
              <w:t>供应链</w:t>
            </w:r>
            <w:r>
              <w:rPr>
                <w:rFonts w:hint="eastAsia" w:ascii="宋体" w:hAnsi="宋体" w:eastAsia="宋体" w:cs="宋体"/>
                <w:sz w:val="20"/>
                <w:szCs w:val="20"/>
                <w:lang w:val="en-US" w:eastAsia="zh-CN"/>
              </w:rPr>
              <w:t>：</w:t>
            </w:r>
            <w:r>
              <w:rPr>
                <w:rFonts w:hint="default" w:ascii="宋体" w:hAnsi="宋体" w:eastAsia="宋体" w:cs="宋体"/>
                <w:sz w:val="20"/>
                <w:szCs w:val="20"/>
                <w:lang w:val="en-US" w:eastAsia="zh-CN"/>
              </w:rPr>
              <w:t>1条</w:t>
            </w:r>
            <w:r>
              <w:rPr>
                <w:rFonts w:hint="eastAsia" w:ascii="宋体" w:hAnsi="宋体" w:eastAsia="宋体" w:cs="宋体"/>
                <w:sz w:val="20"/>
                <w:szCs w:val="20"/>
                <w:lang w:val="en-US" w:eastAsia="zh-CN"/>
              </w:rPr>
              <w:t>；</w:t>
            </w:r>
            <w:r>
              <w:rPr>
                <w:rFonts w:hint="default" w:ascii="宋体" w:hAnsi="宋体" w:eastAsia="宋体" w:cs="宋体"/>
                <w:sz w:val="20"/>
                <w:szCs w:val="20"/>
                <w:lang w:val="en-US" w:eastAsia="zh-CN"/>
              </w:rPr>
              <w:t>指标</w:t>
            </w:r>
            <w:r>
              <w:rPr>
                <w:rFonts w:hint="eastAsia" w:ascii="宋体" w:hAnsi="宋体" w:eastAsia="宋体" w:cs="宋体"/>
                <w:sz w:val="20"/>
                <w:szCs w:val="20"/>
                <w:lang w:val="en-US" w:eastAsia="zh-CN"/>
              </w:rPr>
              <w:t>8</w:t>
            </w:r>
            <w:r>
              <w:rPr>
                <w:rFonts w:hint="default" w:ascii="宋体" w:hAnsi="宋体" w:eastAsia="宋体" w:cs="宋体"/>
                <w:sz w:val="20"/>
                <w:szCs w:val="20"/>
                <w:lang w:val="en-US" w:eastAsia="zh-CN"/>
              </w:rPr>
              <w:t>：电商营销宣传活动</w:t>
            </w:r>
            <w:r>
              <w:rPr>
                <w:rFonts w:hint="eastAsia" w:ascii="宋体" w:hAnsi="宋体" w:eastAsia="宋体" w:cs="宋体"/>
                <w:sz w:val="20"/>
                <w:szCs w:val="20"/>
                <w:lang w:val="en-US" w:eastAsia="zh-CN"/>
              </w:rPr>
              <w:t>：</w:t>
            </w:r>
            <w:r>
              <w:rPr>
                <w:rFonts w:hint="default" w:ascii="宋体" w:hAnsi="宋体" w:eastAsia="宋体" w:cs="宋体"/>
                <w:sz w:val="20"/>
                <w:szCs w:val="20"/>
                <w:lang w:val="en-US" w:eastAsia="zh-CN"/>
              </w:rPr>
              <w:t>2次以上</w:t>
            </w:r>
            <w:r>
              <w:rPr>
                <w:rFonts w:hint="eastAsia" w:ascii="宋体" w:hAnsi="宋体" w:eastAsia="宋体" w:cs="宋体"/>
                <w:sz w:val="20"/>
                <w:szCs w:val="20"/>
                <w:lang w:val="en-US" w:eastAsia="zh-CN"/>
              </w:rPr>
              <w:t>；</w:t>
            </w:r>
            <w:r>
              <w:rPr>
                <w:rFonts w:hint="default" w:ascii="宋体" w:hAnsi="宋体" w:eastAsia="宋体" w:cs="宋体"/>
                <w:sz w:val="20"/>
                <w:szCs w:val="20"/>
                <w:lang w:val="en-US" w:eastAsia="zh-CN"/>
              </w:rPr>
              <w:t>指标</w:t>
            </w:r>
            <w:r>
              <w:rPr>
                <w:rFonts w:hint="eastAsia" w:ascii="宋体" w:hAnsi="宋体" w:eastAsia="宋体" w:cs="宋体"/>
                <w:sz w:val="20"/>
                <w:szCs w:val="20"/>
                <w:lang w:val="en-US" w:eastAsia="zh-CN"/>
              </w:rPr>
              <w:t>9</w:t>
            </w:r>
            <w:r>
              <w:rPr>
                <w:rFonts w:hint="default" w:ascii="宋体" w:hAnsi="宋体" w:eastAsia="宋体" w:cs="宋体"/>
                <w:sz w:val="20"/>
                <w:szCs w:val="20"/>
                <w:lang w:val="en-US" w:eastAsia="zh-CN"/>
              </w:rPr>
              <w:t>：培育限额以上网络零售企业1户以上</w:t>
            </w:r>
            <w:r>
              <w:rPr>
                <w:rFonts w:hint="eastAsia" w:ascii="宋体" w:hAnsi="宋体" w:eastAsia="宋体" w:cs="宋体"/>
                <w:sz w:val="20"/>
                <w:szCs w:val="20"/>
                <w:lang w:val="en-US" w:eastAsia="zh-CN"/>
              </w:rPr>
              <w:t>；指标10：农产品网络零售额同比增长：大于20%；指标11：农村网络零售额同比增速：大于15%；指标12：农村网络零售额农产品网络零售额同比增长高于全国平均水平：大于1个百分点。</w:t>
            </w:r>
          </w:p>
        </w:tc>
        <w:tc>
          <w:tcPr>
            <w:tcW w:w="1197"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498</w:t>
            </w:r>
          </w:p>
        </w:tc>
        <w:tc>
          <w:tcPr>
            <w:tcW w:w="855"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100</w:t>
            </w:r>
          </w:p>
        </w:tc>
        <w:tc>
          <w:tcPr>
            <w:tcW w:w="938"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398</w:t>
            </w:r>
          </w:p>
        </w:tc>
        <w:tc>
          <w:tcPr>
            <w:tcW w:w="2403"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公共服务中心装修改造工程稳步推进。各功能区域已按照设计图纸完成隔断，内部区域划分改造全面完工；地砖铺设整体完成2/3，预计7天左右完工；办公区域水电改造基本完成；墙面及顶部处理正在施工，预估20天左右完工；门窗基本框架已搭建好，准备玻璃安装；监控线管布置完成，7个摄像头陆续安装中；与联通签订2年宽带合同，配备200兆专线网络，网络线路已布置完成；培训教室正在进行电路布线，预计5天改造完毕。综合评估整体装修改造工程进度达到70%。</w:t>
            </w:r>
          </w:p>
          <w:p>
            <w:pPr>
              <w:keepNext w:val="0"/>
              <w:keepLines w:val="0"/>
              <w:widowControl/>
              <w:suppressLineNumbers w:val="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2.公共服务中心设备采购陆续开展。根据公共服务中心整体设计效果，制定了设施设备采购计划，根据实际需要进行询价比价</w:t>
            </w:r>
            <w:r>
              <w:rPr>
                <w:rFonts w:hint="default" w:ascii="宋体" w:hAnsi="宋体" w:eastAsia="宋体" w:cs="宋体"/>
                <w:sz w:val="20"/>
                <w:szCs w:val="20"/>
                <w:lang w:val="en-US" w:eastAsia="zh-CN"/>
              </w:rPr>
              <w:t>，</w:t>
            </w:r>
            <w:r>
              <w:rPr>
                <w:rFonts w:hint="eastAsia" w:ascii="宋体" w:hAnsi="宋体" w:eastAsia="宋体" w:cs="宋体"/>
                <w:sz w:val="20"/>
                <w:szCs w:val="20"/>
                <w:lang w:val="en-US" w:eastAsia="zh-CN"/>
              </w:rPr>
              <w:t>陆续与供应商签订办公设备、办公家具采购合同，确保公共服务中心装修完成后设备能够快速到位。</w:t>
            </w:r>
          </w:p>
          <w:p>
            <w:pPr>
              <w:keepNext w:val="0"/>
              <w:keepLines w:val="0"/>
              <w:widowControl/>
              <w:suppressLineNumbers w:val="0"/>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3.农村电子商务服务站选点完成。经过前期调研及洽谈，目前已有</w:t>
            </w:r>
            <w:r>
              <w:rPr>
                <w:rFonts w:hint="default" w:ascii="宋体" w:hAnsi="宋体" w:eastAsia="宋体" w:cs="宋体"/>
                <w:sz w:val="20"/>
                <w:szCs w:val="20"/>
                <w:lang w:val="en-US" w:eastAsia="zh-CN"/>
              </w:rPr>
              <w:t>4</w:t>
            </w:r>
            <w:r>
              <w:rPr>
                <w:rFonts w:hint="eastAsia" w:ascii="宋体" w:hAnsi="宋体" w:eastAsia="宋体" w:cs="宋体"/>
                <w:sz w:val="20"/>
                <w:szCs w:val="20"/>
                <w:lang w:val="en-US" w:eastAsia="zh-CN"/>
              </w:rPr>
              <w:t>7个站点签署了《新平县电子商务进农村综合示范项目电子商务（物流）服务站点合作协议》，戛洒、平甸、水塘三个镇级点尚未签订协议，其余站点装修及设备采购即将启动。</w:t>
            </w:r>
          </w:p>
          <w:p>
            <w:pPr>
              <w:keepNext w:val="0"/>
              <w:keepLines w:val="0"/>
              <w:widowControl/>
              <w:suppressLineNumbers w:val="0"/>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4.开展新平县区域公共品牌征集活动。根据新平特色产业、文化底蕴及少数民族元素，面向社会征集区域公共品牌名称、广告语及形象设计；截至6月20日，共收到投稿件39份，筛选有效稿件26份，目前正在讨论审议。</w:t>
            </w:r>
          </w:p>
          <w:p>
            <w:pPr>
              <w:keepNext w:val="0"/>
              <w:keepLines w:val="0"/>
              <w:widowControl/>
              <w:suppressLineNumbers w:val="0"/>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5.签订电商孵化服务协议。经过前期业务洽谈，共有</w:t>
            </w:r>
            <w:r>
              <w:rPr>
                <w:rFonts w:hint="default" w:ascii="宋体" w:hAnsi="宋体" w:eastAsia="宋体" w:cs="宋体"/>
                <w:sz w:val="20"/>
                <w:szCs w:val="20"/>
                <w:lang w:val="en-US" w:eastAsia="zh-CN"/>
              </w:rPr>
              <w:t>9</w:t>
            </w:r>
            <w:r>
              <w:rPr>
                <w:rFonts w:hint="eastAsia" w:ascii="宋体" w:hAnsi="宋体" w:eastAsia="宋体" w:cs="宋体"/>
                <w:sz w:val="20"/>
                <w:szCs w:val="20"/>
                <w:lang w:val="en-US" w:eastAsia="zh-CN"/>
              </w:rPr>
              <w:t>家企业和</w:t>
            </w:r>
            <w:r>
              <w:rPr>
                <w:rFonts w:hint="default" w:ascii="宋体" w:hAnsi="宋体" w:eastAsia="宋体" w:cs="宋体"/>
                <w:sz w:val="20"/>
                <w:szCs w:val="20"/>
                <w:lang w:val="en-US" w:eastAsia="zh-CN"/>
              </w:rPr>
              <w:t>25</w:t>
            </w:r>
            <w:r>
              <w:rPr>
                <w:rFonts w:hint="eastAsia" w:ascii="宋体" w:hAnsi="宋体" w:eastAsia="宋体" w:cs="宋体"/>
                <w:sz w:val="20"/>
                <w:szCs w:val="20"/>
                <w:lang w:val="en-US" w:eastAsia="zh-CN"/>
              </w:rPr>
              <w:t>个电商从业人员、创业者签订了电商孵化协议，由公共服务中心对孵化对象提供产品升级、营销推广、品牌培育、直播带货等服务。</w:t>
            </w:r>
          </w:p>
        </w:tc>
        <w:tc>
          <w:tcPr>
            <w:tcW w:w="720"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50%</w:t>
            </w:r>
          </w:p>
        </w:tc>
        <w:tc>
          <w:tcPr>
            <w:tcW w:w="1417" w:type="dxa"/>
            <w:vMerge w:val="restart"/>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jc w:val="left"/>
              <w:rPr>
                <w:rFonts w:hint="eastAsia"/>
                <w:lang w:val="en-US" w:eastAsia="zh-CN"/>
              </w:rPr>
            </w:pPr>
            <w:r>
              <w:rPr>
                <w:rFonts w:hint="eastAsia"/>
                <w:lang w:val="en-US" w:eastAsia="zh-CN"/>
              </w:rPr>
              <w:t>《新平彝族傣族自治县人民政府关于印发新平县2021年电子商务进农村综合示范项目实施方案的通知》新政通〔2021〕24号；</w:t>
            </w:r>
          </w:p>
          <w:p>
            <w:pPr>
              <w:keepNext w:val="0"/>
              <w:keepLines w:val="0"/>
              <w:widowControl/>
              <w:suppressLineNumbers w:val="0"/>
              <w:jc w:val="left"/>
              <w:rPr>
                <w:rFonts w:hint="eastAsia"/>
                <w:lang w:val="en-US" w:eastAsia="zh-CN"/>
              </w:rPr>
            </w:pPr>
          </w:p>
          <w:p>
            <w:pPr>
              <w:keepNext w:val="0"/>
              <w:keepLines w:val="0"/>
              <w:widowControl/>
              <w:suppressLineNumbers w:val="0"/>
              <w:jc w:val="left"/>
              <w:rPr>
                <w:rFonts w:hint="eastAsia"/>
                <w:lang w:val="en-US" w:eastAsia="zh-CN"/>
              </w:rPr>
            </w:pPr>
            <w:r>
              <w:rPr>
                <w:rFonts w:hint="eastAsia"/>
                <w:lang w:val="en-US" w:eastAsia="zh-CN"/>
              </w:rPr>
              <w:t>《新平彝族傣族自治县人民政府关于印发新平县2021年电子商务进农村综合示范项目专项资金管理办法的通知》新政通〔2021〕</w:t>
            </w:r>
            <w:r>
              <w:rPr>
                <w:rFonts w:hint="default"/>
                <w:lang w:val="en-US" w:eastAsia="zh-CN"/>
              </w:rPr>
              <w:t>25</w:t>
            </w:r>
            <w:r>
              <w:rPr>
                <w:rFonts w:hint="eastAsia"/>
                <w:lang w:val="en-US" w:eastAsia="zh-CN"/>
              </w:rPr>
              <w:t>号。</w:t>
            </w:r>
          </w:p>
          <w:p>
            <w:pPr>
              <w:pStyle w:val="2"/>
              <w:rPr>
                <w:rFonts w:hint="eastAsia" w:ascii="宋体" w:hAnsi="宋体" w:eastAsia="宋体" w:cs="宋体"/>
                <w:sz w:val="20"/>
                <w:szCs w:val="20"/>
                <w:lang w:val="en-US" w:eastAsia="zh-CN"/>
              </w:rPr>
            </w:pPr>
          </w:p>
          <w:p>
            <w:pPr>
              <w:pStyle w:val="2"/>
              <w:rPr>
                <w:rFonts w:hint="eastAsia" w:ascii="宋体" w:hAnsi="宋体" w:eastAsia="宋体" w:cs="宋体"/>
                <w:sz w:val="20"/>
                <w:szCs w:val="20"/>
                <w:lang w:val="en-US" w:eastAsia="zh-CN"/>
              </w:rPr>
            </w:pPr>
          </w:p>
        </w:tc>
        <w:tc>
          <w:tcPr>
            <w:tcW w:w="1079" w:type="dxa"/>
            <w:vMerge w:val="restart"/>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承办企业：灼见电子商务（云南）有限公司；负责人：童楚尧。</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6" w:hRule="atLeast"/>
          <w:jc w:val="center"/>
        </w:trPr>
        <w:tc>
          <w:tcPr>
            <w:tcW w:w="687"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2</w:t>
            </w:r>
          </w:p>
        </w:tc>
        <w:tc>
          <w:tcPr>
            <w:tcW w:w="1492"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sz w:val="20"/>
                <w:szCs w:val="20"/>
              </w:rPr>
            </w:pPr>
            <w:r>
              <w:rPr>
                <w:rFonts w:hint="eastAsia" w:ascii="宋体" w:hAnsi="宋体" w:eastAsia="宋体" w:cs="宋体"/>
                <w:sz w:val="20"/>
                <w:szCs w:val="20"/>
              </w:rPr>
              <w:t>县、乡、村三级物流共同配送体系</w:t>
            </w:r>
          </w:p>
        </w:tc>
        <w:tc>
          <w:tcPr>
            <w:tcW w:w="3003"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1.整合利用现有资源和场地，改造升级1个新平县电子商务公共仓储物流配送中心，建立县域统一、适应双向流通的农村物流管理系统，整合县域商贸、邮政、供销、物流快递等资源，统筹订单、数据、场地、线路等要素，实现提速降费。2.与乡村电子商务公共服务站点共建农村物流服务站点50个，其中，乡镇级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sz w:val="20"/>
                <w:szCs w:val="20"/>
                <w:lang w:val="en-US" w:eastAsia="zh-CN"/>
              </w:rPr>
              <w:t>物流服务站10个，村级物流服务点</w:t>
            </w:r>
            <w:r>
              <w:rPr>
                <w:rFonts w:hint="default" w:ascii="宋体" w:hAnsi="宋体" w:eastAsia="宋体" w:cs="宋体"/>
                <w:sz w:val="20"/>
                <w:szCs w:val="20"/>
                <w:lang w:val="en-US" w:eastAsia="zh-CN"/>
              </w:rPr>
              <w:t>40</w:t>
            </w:r>
            <w:r>
              <w:rPr>
                <w:rFonts w:hint="eastAsia" w:ascii="宋体" w:hAnsi="宋体" w:eastAsia="宋体" w:cs="宋体"/>
                <w:sz w:val="20"/>
                <w:szCs w:val="20"/>
                <w:lang w:val="en-US" w:eastAsia="zh-CN"/>
              </w:rPr>
              <w:t>个，配备必要的快递物流收发设备，主要提供电商快递包裹的中转和代收代发、农产品上行和工业品下行。</w:t>
            </w:r>
          </w:p>
        </w:tc>
        <w:tc>
          <w:tcPr>
            <w:tcW w:w="2115"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指标1：</w:t>
            </w:r>
            <w:r>
              <w:rPr>
                <w:rFonts w:hint="default" w:ascii="宋体" w:hAnsi="宋体" w:eastAsia="宋体" w:cs="宋体"/>
                <w:sz w:val="20"/>
                <w:szCs w:val="20"/>
                <w:lang w:val="en-US" w:eastAsia="zh-CN"/>
              </w:rPr>
              <w:t>县级电子商务公共仓储物流配送中心</w:t>
            </w:r>
            <w:r>
              <w:rPr>
                <w:rFonts w:hint="eastAsia" w:ascii="宋体" w:hAnsi="宋体" w:eastAsia="宋体" w:cs="宋体"/>
                <w:sz w:val="20"/>
                <w:szCs w:val="20"/>
                <w:lang w:val="en-US" w:eastAsia="zh-CN"/>
              </w:rPr>
              <w:t>：</w:t>
            </w:r>
            <w:r>
              <w:rPr>
                <w:rFonts w:hint="default" w:ascii="宋体" w:hAnsi="宋体" w:eastAsia="宋体" w:cs="宋体"/>
                <w:sz w:val="20"/>
                <w:szCs w:val="20"/>
                <w:lang w:val="en-US" w:eastAsia="zh-CN"/>
              </w:rPr>
              <w:t>1个</w:t>
            </w:r>
            <w:r>
              <w:rPr>
                <w:rFonts w:hint="eastAsia" w:ascii="宋体" w:hAnsi="宋体" w:eastAsia="宋体" w:cs="宋体"/>
                <w:sz w:val="20"/>
                <w:szCs w:val="20"/>
                <w:lang w:val="en-US" w:eastAsia="zh-CN"/>
              </w:rPr>
              <w:t>；指标2：县到村配送时间：48</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sz w:val="20"/>
                <w:szCs w:val="20"/>
                <w:lang w:val="en-US" w:eastAsia="zh-CN"/>
              </w:rPr>
              <w:t>小时内完成配送；指标3：建设物流信息系统：1套。</w:t>
            </w:r>
          </w:p>
        </w:tc>
        <w:tc>
          <w:tcPr>
            <w:tcW w:w="1197"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300</w:t>
            </w:r>
          </w:p>
        </w:tc>
        <w:tc>
          <w:tcPr>
            <w:tcW w:w="855"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100</w:t>
            </w:r>
          </w:p>
        </w:tc>
        <w:tc>
          <w:tcPr>
            <w:tcW w:w="938"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200</w:t>
            </w:r>
          </w:p>
        </w:tc>
        <w:tc>
          <w:tcPr>
            <w:tcW w:w="2403"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仓储物流配送资源有效整合。完成县级仓储物流配送中心场地租赁，经多次共同配送专题会议研究讨论决定，由新平城通商贸科技有限公司与5家本地快递企业（三通一达、极兔）签订了入驻协议，就免费入驻县级电子商务公共仓储物流配送中心及开展统仓共配业务正式达成合作，进一步加快了三级物流共同配送体系建设进度。</w:t>
            </w:r>
          </w:p>
          <w:p>
            <w:pPr>
              <w:keepNext w:val="0"/>
              <w:keepLines w:val="0"/>
              <w:widowControl/>
              <w:suppressLineNumbers w:val="0"/>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2.依托物流配送中心开展共同配送。投入快递分拣线1条、溪鸟共配系统1套、物流配送货车9辆，开通农村物流配送线路4条。目前物流配送中心已正式开展业务，5家快递公司包裹均在物流中心共同分拣、共同配送。日均包裹分拣数量在2万件左右，县城配送到乡镇目前已有共配站的包裹在24小时内达到，村级站点陆续开通中。</w:t>
            </w:r>
          </w:p>
        </w:tc>
        <w:tc>
          <w:tcPr>
            <w:tcW w:w="720"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60%</w:t>
            </w:r>
          </w:p>
        </w:tc>
        <w:tc>
          <w:tcPr>
            <w:tcW w:w="1417" w:type="dxa"/>
            <w:vMerge w:val="continue"/>
            <w:tcBorders>
              <w:bottom w:val="single" w:color="000000" w:sz="6" w:space="0"/>
              <w:right w:val="single" w:color="000000" w:sz="6" w:space="0"/>
            </w:tcBorders>
            <w:shd w:val="clear" w:color="auto" w:fill="auto"/>
            <w:tcMar>
              <w:top w:w="75" w:type="dxa"/>
              <w:left w:w="75" w:type="dxa"/>
              <w:bottom w:w="75" w:type="dxa"/>
              <w:right w:w="75" w:type="dxa"/>
            </w:tcMar>
            <w:vAlign w:val="center"/>
          </w:tcPr>
          <w:p>
            <w:pPr>
              <w:jc w:val="center"/>
              <w:rPr>
                <w:rFonts w:hint="eastAsia" w:ascii="宋体" w:hAnsi="宋体" w:eastAsia="宋体" w:cs="宋体"/>
                <w:sz w:val="20"/>
                <w:szCs w:val="20"/>
              </w:rPr>
            </w:pPr>
          </w:p>
        </w:tc>
        <w:tc>
          <w:tcPr>
            <w:tcW w:w="1079" w:type="dxa"/>
            <w:vMerge w:val="continue"/>
            <w:tcBorders>
              <w:bottom w:val="single" w:color="000000" w:sz="6" w:space="0"/>
              <w:right w:val="single" w:color="000000" w:sz="6" w:space="0"/>
            </w:tcBorders>
            <w:shd w:val="clear" w:color="auto" w:fill="auto"/>
            <w:tcMar>
              <w:top w:w="75" w:type="dxa"/>
              <w:left w:w="75" w:type="dxa"/>
              <w:bottom w:w="75" w:type="dxa"/>
              <w:right w:w="75" w:type="dxa"/>
            </w:tcMar>
            <w:vAlign w:val="center"/>
          </w:tcPr>
          <w:p>
            <w:pPr>
              <w:jc w:val="center"/>
              <w:rPr>
                <w:rFonts w:hint="eastAsia" w:ascii="宋体" w:hAnsi="宋体" w:eastAsia="宋体" w:cs="宋体"/>
                <w:sz w:val="20"/>
                <w:szCs w:val="20"/>
              </w:rPr>
            </w:pP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1" w:hRule="atLeast"/>
          <w:jc w:val="center"/>
        </w:trPr>
        <w:tc>
          <w:tcPr>
            <w:tcW w:w="687"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3</w:t>
            </w:r>
          </w:p>
        </w:tc>
        <w:tc>
          <w:tcPr>
            <w:tcW w:w="1492"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sz w:val="20"/>
                <w:szCs w:val="20"/>
              </w:rPr>
            </w:pPr>
            <w:r>
              <w:rPr>
                <w:rFonts w:hint="eastAsia" w:ascii="宋体" w:hAnsi="宋体" w:eastAsia="宋体" w:cs="宋体"/>
                <w:sz w:val="20"/>
                <w:szCs w:val="20"/>
              </w:rPr>
              <w:t>推动农村商贸流通企业转型升级</w:t>
            </w:r>
          </w:p>
        </w:tc>
        <w:tc>
          <w:tcPr>
            <w:tcW w:w="3003"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sz w:val="20"/>
                <w:szCs w:val="20"/>
                <w:lang w:val="en-US" w:eastAsia="zh-CN"/>
              </w:rPr>
              <w:t>支持我县商贸流通企业的数字化转型升级。引导支持大型流通企业以乡镇为重点下沉供应链，开展集中采购、统一配送、直供直销等业务。借助阿里、京东、拼多多等第三方互联网平台以及传统具有优势的采购渠道，实现下乡产品统一采购，降低采购成本。建设工业品下乡统一仓储中心，构建一套完善的进存销管理系统与配送体系。</w:t>
            </w:r>
          </w:p>
        </w:tc>
        <w:tc>
          <w:tcPr>
            <w:tcW w:w="2115"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jc w:val="both"/>
              <w:rPr>
                <w:rFonts w:hint="default"/>
                <w:lang w:val="en-US"/>
              </w:rPr>
            </w:pPr>
            <w:r>
              <w:rPr>
                <w:rFonts w:hint="eastAsia"/>
                <w:lang w:val="en-US" w:eastAsia="zh-CN"/>
              </w:rPr>
              <w:t>指标1：</w:t>
            </w:r>
            <w:r>
              <w:rPr>
                <w:rFonts w:hint="default"/>
                <w:lang w:val="en-US" w:eastAsia="zh-CN"/>
              </w:rPr>
              <w:t>推动农村商贸流通企业数字化、连锁化转型升级</w:t>
            </w:r>
            <w:r>
              <w:rPr>
                <w:rFonts w:hint="eastAsia"/>
                <w:lang w:val="en-US" w:eastAsia="zh-CN"/>
              </w:rPr>
              <w:t>：2</w:t>
            </w:r>
            <w:r>
              <w:rPr>
                <w:rFonts w:hint="default"/>
                <w:lang w:val="en-US" w:eastAsia="zh-CN"/>
              </w:rPr>
              <w:t>户以上</w:t>
            </w:r>
            <w:r>
              <w:rPr>
                <w:rFonts w:hint="eastAsia"/>
                <w:lang w:val="en-US" w:eastAsia="zh-CN"/>
              </w:rPr>
              <w:t>。指标2：开设第三方电商平台：3个以上。</w:t>
            </w:r>
          </w:p>
        </w:tc>
        <w:tc>
          <w:tcPr>
            <w:tcW w:w="1197"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100</w:t>
            </w:r>
          </w:p>
        </w:tc>
        <w:tc>
          <w:tcPr>
            <w:tcW w:w="855"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26.4</w:t>
            </w:r>
          </w:p>
        </w:tc>
        <w:tc>
          <w:tcPr>
            <w:tcW w:w="938"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73.6</w:t>
            </w:r>
          </w:p>
        </w:tc>
        <w:tc>
          <w:tcPr>
            <w:tcW w:w="2403"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both"/>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6月份开展商贸流通企业调研走访，对县内22家商贸流通企业以“实地走访”、“访谈调研”、“材料调研”的方式实地调研，从“市场的竞争情况”、“产业现状、优势、劣势与机遇”等方面入手进行系统分析，完成调研报告，初步形成新平县传统商贸流通企业转型升级重点扶持名单。</w:t>
            </w:r>
          </w:p>
        </w:tc>
        <w:tc>
          <w:tcPr>
            <w:tcW w:w="720"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15%</w:t>
            </w:r>
          </w:p>
        </w:tc>
        <w:tc>
          <w:tcPr>
            <w:tcW w:w="1417" w:type="dxa"/>
            <w:vMerge w:val="continue"/>
            <w:tcBorders>
              <w:bottom w:val="single" w:color="000000" w:sz="6" w:space="0"/>
              <w:right w:val="single" w:color="000000" w:sz="6" w:space="0"/>
            </w:tcBorders>
            <w:shd w:val="clear" w:color="auto" w:fill="auto"/>
            <w:tcMar>
              <w:top w:w="75" w:type="dxa"/>
              <w:left w:w="75" w:type="dxa"/>
              <w:bottom w:w="75" w:type="dxa"/>
              <w:right w:w="75" w:type="dxa"/>
            </w:tcMar>
            <w:vAlign w:val="center"/>
          </w:tcPr>
          <w:p>
            <w:pPr>
              <w:jc w:val="center"/>
              <w:rPr>
                <w:rFonts w:hint="eastAsia" w:ascii="宋体" w:hAnsi="宋体" w:eastAsia="宋体" w:cs="宋体"/>
                <w:sz w:val="20"/>
                <w:szCs w:val="20"/>
              </w:rPr>
            </w:pPr>
          </w:p>
        </w:tc>
        <w:tc>
          <w:tcPr>
            <w:tcW w:w="1079" w:type="dxa"/>
            <w:vMerge w:val="continue"/>
            <w:tcBorders>
              <w:bottom w:val="single" w:color="000000" w:sz="6" w:space="0"/>
              <w:right w:val="single" w:color="000000" w:sz="6" w:space="0"/>
            </w:tcBorders>
            <w:shd w:val="clear" w:color="auto" w:fill="auto"/>
            <w:tcMar>
              <w:top w:w="75" w:type="dxa"/>
              <w:left w:w="75" w:type="dxa"/>
              <w:bottom w:w="75" w:type="dxa"/>
              <w:right w:w="75" w:type="dxa"/>
            </w:tcMar>
            <w:vAlign w:val="center"/>
          </w:tcPr>
          <w:p>
            <w:pPr>
              <w:jc w:val="center"/>
              <w:rPr>
                <w:rFonts w:hint="eastAsia" w:ascii="宋体" w:hAnsi="宋体" w:eastAsia="宋体" w:cs="宋体"/>
                <w:sz w:val="20"/>
                <w:szCs w:val="20"/>
              </w:rPr>
            </w:pP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6" w:hRule="atLeast"/>
          <w:jc w:val="center"/>
        </w:trPr>
        <w:tc>
          <w:tcPr>
            <w:tcW w:w="687"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4</w:t>
            </w:r>
          </w:p>
        </w:tc>
        <w:tc>
          <w:tcPr>
            <w:tcW w:w="1492"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0"/>
                <w:szCs w:val="20"/>
              </w:rPr>
            </w:pPr>
            <w:r>
              <w:rPr>
                <w:rFonts w:hint="eastAsia" w:ascii="宋体" w:hAnsi="宋体" w:eastAsia="宋体" w:cs="宋体"/>
                <w:sz w:val="20"/>
                <w:szCs w:val="20"/>
              </w:rPr>
              <w:t>农村电子商务培训体系</w:t>
            </w:r>
          </w:p>
        </w:tc>
        <w:tc>
          <w:tcPr>
            <w:tcW w:w="3003"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sz w:val="20"/>
                <w:szCs w:val="20"/>
                <w:lang w:val="en-US" w:eastAsia="zh-CN"/>
              </w:rPr>
              <w:t>依托县域电商公共服务体系，统筹商务、人社、农业农村、乡村振兴等部门资源，发挥政府部门、培训机构、电商协会、承办企业等多方合力，建立健全培训机制。有针对性、分阶段、分层次开展培训，加强对具备条件的返乡农民工、大学生、退伍军人、合作社社员等开展实操技能培训，发挥电商致富示范性、引领性。</w:t>
            </w:r>
          </w:p>
        </w:tc>
        <w:tc>
          <w:tcPr>
            <w:tcW w:w="2115"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jc w:val="left"/>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指标1：培训转化率（创业就业务工人数、参训人数）</w:t>
            </w:r>
            <w:r>
              <w:rPr>
                <w:rFonts w:hint="eastAsia" w:ascii="宋体" w:hAnsi="宋体" w:eastAsia="宋体" w:cs="宋体"/>
                <w:sz w:val="20"/>
                <w:szCs w:val="20"/>
                <w:lang w:val="en-US" w:eastAsia="zh-CN"/>
              </w:rPr>
              <w:t>：</w:t>
            </w:r>
            <w:r>
              <w:rPr>
                <w:rFonts w:hint="default" w:ascii="宋体" w:hAnsi="宋体" w:eastAsia="宋体" w:cs="宋体"/>
                <w:sz w:val="20"/>
                <w:szCs w:val="20"/>
                <w:lang w:val="en-US" w:eastAsia="zh-CN"/>
              </w:rPr>
              <w:t>不低于3%</w:t>
            </w:r>
            <w:r>
              <w:rPr>
                <w:rFonts w:hint="eastAsia" w:ascii="宋体" w:hAnsi="宋体" w:eastAsia="宋体" w:cs="宋体"/>
                <w:sz w:val="20"/>
                <w:szCs w:val="20"/>
                <w:lang w:val="en-US" w:eastAsia="zh-CN"/>
              </w:rPr>
              <w:t>；</w:t>
            </w:r>
          </w:p>
          <w:p>
            <w:pPr>
              <w:keepNext w:val="0"/>
              <w:keepLines w:val="0"/>
              <w:widowControl/>
              <w:suppressLineNumbers w:val="0"/>
              <w:jc w:val="left"/>
              <w:rPr>
                <w:rFonts w:hint="default" w:ascii="宋体" w:hAnsi="宋体" w:eastAsia="宋体" w:cs="宋体"/>
                <w:sz w:val="20"/>
                <w:szCs w:val="20"/>
                <w:lang w:val="en-US"/>
              </w:rPr>
            </w:pPr>
            <w:r>
              <w:rPr>
                <w:rFonts w:hint="default" w:ascii="宋体" w:hAnsi="宋体" w:eastAsia="宋体" w:cs="宋体"/>
                <w:sz w:val="20"/>
                <w:szCs w:val="20"/>
                <w:lang w:val="en-US" w:eastAsia="zh-CN"/>
              </w:rPr>
              <w:t>指标2：农村电商创业带头人</w:t>
            </w:r>
            <w:r>
              <w:rPr>
                <w:rFonts w:hint="eastAsia" w:ascii="宋体" w:hAnsi="宋体" w:eastAsia="宋体" w:cs="宋体"/>
                <w:sz w:val="20"/>
                <w:szCs w:val="20"/>
                <w:lang w:val="en-US" w:eastAsia="zh-CN"/>
              </w:rPr>
              <w:t>：</w:t>
            </w:r>
            <w:r>
              <w:rPr>
                <w:rFonts w:hint="default" w:ascii="宋体" w:hAnsi="宋体" w:eastAsia="宋体" w:cs="宋体"/>
                <w:sz w:val="20"/>
                <w:szCs w:val="20"/>
                <w:lang w:val="en-US" w:eastAsia="zh-CN"/>
              </w:rPr>
              <w:t>20人以上</w:t>
            </w:r>
            <w:r>
              <w:rPr>
                <w:rFonts w:hint="eastAsia" w:ascii="宋体" w:hAnsi="宋体" w:eastAsia="宋体" w:cs="宋体"/>
                <w:sz w:val="20"/>
                <w:szCs w:val="20"/>
                <w:lang w:val="en-US" w:eastAsia="zh-CN"/>
              </w:rPr>
              <w:t>；指标3：</w:t>
            </w:r>
            <w:r>
              <w:rPr>
                <w:rFonts w:hint="default" w:ascii="宋体" w:hAnsi="宋体" w:eastAsia="宋体" w:cs="宋体"/>
                <w:sz w:val="20"/>
                <w:szCs w:val="20"/>
                <w:lang w:val="en-US" w:eastAsia="zh-CN"/>
              </w:rPr>
              <w:t>培训对象满意度</w:t>
            </w:r>
            <w:r>
              <w:rPr>
                <w:rFonts w:hint="eastAsia" w:ascii="宋体" w:hAnsi="宋体" w:eastAsia="宋体" w:cs="宋体"/>
                <w:sz w:val="20"/>
                <w:szCs w:val="20"/>
                <w:lang w:val="en-US" w:eastAsia="zh-CN"/>
              </w:rPr>
              <w:t>：</w:t>
            </w:r>
            <w:r>
              <w:rPr>
                <w:rFonts w:hint="default" w:ascii="宋体" w:hAnsi="宋体" w:eastAsia="宋体" w:cs="宋体"/>
                <w:sz w:val="20"/>
                <w:szCs w:val="20"/>
                <w:lang w:val="en-US" w:eastAsia="zh-CN"/>
              </w:rPr>
              <w:t>90%以上满意度</w:t>
            </w:r>
            <w:r>
              <w:rPr>
                <w:rFonts w:hint="eastAsia" w:ascii="宋体" w:hAnsi="宋体" w:eastAsia="宋体" w:cs="宋体"/>
                <w:sz w:val="20"/>
                <w:szCs w:val="20"/>
                <w:lang w:val="en-US" w:eastAsia="zh-CN"/>
              </w:rPr>
              <w:t>；指标4：培训人数：3000人次。</w:t>
            </w:r>
          </w:p>
        </w:tc>
        <w:tc>
          <w:tcPr>
            <w:tcW w:w="1197"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90</w:t>
            </w:r>
          </w:p>
        </w:tc>
        <w:tc>
          <w:tcPr>
            <w:tcW w:w="855"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50</w:t>
            </w:r>
          </w:p>
        </w:tc>
        <w:tc>
          <w:tcPr>
            <w:tcW w:w="938"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40</w:t>
            </w:r>
          </w:p>
        </w:tc>
        <w:tc>
          <w:tcPr>
            <w:tcW w:w="2403"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both"/>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在全县</w:t>
            </w:r>
            <w:r>
              <w:rPr>
                <w:rFonts w:hint="eastAsia" w:ascii="宋体" w:hAnsi="宋体" w:eastAsia="宋体" w:cs="宋体"/>
                <w:sz w:val="20"/>
                <w:szCs w:val="20"/>
                <w:lang w:val="en-US" w:eastAsia="zh-Hans"/>
              </w:rPr>
              <w:t>范围内</w:t>
            </w:r>
            <w:r>
              <w:rPr>
                <w:rFonts w:hint="eastAsia" w:ascii="宋体" w:hAnsi="宋体" w:eastAsia="宋体" w:cs="宋体"/>
                <w:sz w:val="20"/>
                <w:szCs w:val="20"/>
                <w:lang w:val="en-US" w:eastAsia="zh-CN"/>
              </w:rPr>
              <w:t>开展电商培训工作。对政府人员、电商服务站长候选人、大学生、返乡农民工、农村青年等开展普及培训和专业技能培训，共开展电商培训16场次，其中政府人员电商业务培训1场，电商普及培训12场，电商服务站站长候选人技能提升培训1场，电商直播带货技能提升实操培训2场次，共计培训1194人次。对已培训人员开</w:t>
            </w:r>
            <w:bookmarkStart w:id="0" w:name="_GoBack"/>
            <w:bookmarkEnd w:id="0"/>
            <w:r>
              <w:rPr>
                <w:rFonts w:hint="eastAsia" w:ascii="宋体" w:hAnsi="宋体" w:eastAsia="宋体" w:cs="宋体"/>
                <w:sz w:val="20"/>
                <w:szCs w:val="20"/>
                <w:lang w:val="en-US" w:eastAsia="zh-CN"/>
              </w:rPr>
              <w:t>展全覆盖回访，跟踪指导创业开店、直播带货等，培育孵化工作陆续开展中。</w:t>
            </w:r>
          </w:p>
        </w:tc>
        <w:tc>
          <w:tcPr>
            <w:tcW w:w="720"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40%</w:t>
            </w:r>
          </w:p>
        </w:tc>
        <w:tc>
          <w:tcPr>
            <w:tcW w:w="1417" w:type="dxa"/>
            <w:vMerge w:val="continue"/>
            <w:tcBorders>
              <w:bottom w:val="single" w:color="000000" w:sz="6" w:space="0"/>
              <w:right w:val="single" w:color="000000" w:sz="6" w:space="0"/>
            </w:tcBorders>
            <w:shd w:val="clear" w:color="auto" w:fill="auto"/>
            <w:tcMar>
              <w:top w:w="75" w:type="dxa"/>
              <w:left w:w="75" w:type="dxa"/>
              <w:bottom w:w="75" w:type="dxa"/>
              <w:right w:w="75" w:type="dxa"/>
            </w:tcMar>
            <w:vAlign w:val="center"/>
          </w:tcPr>
          <w:p>
            <w:pPr>
              <w:jc w:val="center"/>
              <w:rPr>
                <w:rFonts w:hint="eastAsia" w:ascii="宋体" w:hAnsi="宋体" w:eastAsia="宋体" w:cs="宋体"/>
                <w:sz w:val="20"/>
                <w:szCs w:val="20"/>
              </w:rPr>
            </w:pPr>
          </w:p>
        </w:tc>
        <w:tc>
          <w:tcPr>
            <w:tcW w:w="1079" w:type="dxa"/>
            <w:vMerge w:val="continue"/>
            <w:tcBorders>
              <w:bottom w:val="single" w:color="000000" w:sz="6" w:space="0"/>
              <w:right w:val="single" w:color="000000" w:sz="6" w:space="0"/>
            </w:tcBorders>
            <w:shd w:val="clear" w:color="auto" w:fill="auto"/>
            <w:tcMar>
              <w:top w:w="75" w:type="dxa"/>
              <w:left w:w="75" w:type="dxa"/>
              <w:bottom w:w="75" w:type="dxa"/>
              <w:right w:w="75" w:type="dxa"/>
            </w:tcMar>
            <w:vAlign w:val="center"/>
          </w:tcPr>
          <w:p>
            <w:pPr>
              <w:jc w:val="center"/>
              <w:rPr>
                <w:rFonts w:hint="eastAsia" w:ascii="宋体" w:hAnsi="宋体" w:eastAsia="宋体" w:cs="宋体"/>
                <w:sz w:val="20"/>
                <w:szCs w:val="20"/>
              </w:rPr>
            </w:pP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47" w:hRule="atLeast"/>
          <w:jc w:val="center"/>
        </w:trPr>
        <w:tc>
          <w:tcPr>
            <w:tcW w:w="687"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5</w:t>
            </w:r>
          </w:p>
        </w:tc>
        <w:tc>
          <w:tcPr>
            <w:tcW w:w="1492"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rPr>
              <w:t>电子商务助力乡村振兴体系</w:t>
            </w:r>
          </w:p>
        </w:tc>
        <w:tc>
          <w:tcPr>
            <w:tcW w:w="3003"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sz w:val="20"/>
                <w:szCs w:val="20"/>
                <w:lang w:val="en-US" w:eastAsia="zh-CN"/>
              </w:rPr>
              <w:t>重点支持乡村振兴示范点电商服务站点建设、提升线上交易额、畅通农特产品上行渠道等工作。</w:t>
            </w:r>
          </w:p>
        </w:tc>
        <w:tc>
          <w:tcPr>
            <w:tcW w:w="2115"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both"/>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指标1：打造电子商务特色村：2—3个。</w:t>
            </w:r>
          </w:p>
        </w:tc>
        <w:tc>
          <w:tcPr>
            <w:tcW w:w="1197"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100</w:t>
            </w:r>
          </w:p>
        </w:tc>
        <w:tc>
          <w:tcPr>
            <w:tcW w:w="855"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50</w:t>
            </w:r>
          </w:p>
        </w:tc>
        <w:tc>
          <w:tcPr>
            <w:tcW w:w="938"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50</w:t>
            </w:r>
          </w:p>
        </w:tc>
        <w:tc>
          <w:tcPr>
            <w:tcW w:w="2403"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both"/>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正在进行电子商务特色村评估选拔，有关建设工作筹备中。</w:t>
            </w:r>
          </w:p>
        </w:tc>
        <w:tc>
          <w:tcPr>
            <w:tcW w:w="720"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8%</w:t>
            </w:r>
          </w:p>
        </w:tc>
        <w:tc>
          <w:tcPr>
            <w:tcW w:w="1417" w:type="dxa"/>
            <w:vMerge w:val="continue"/>
            <w:tcBorders>
              <w:bottom w:val="single" w:color="000000" w:sz="6" w:space="0"/>
              <w:right w:val="single" w:color="000000" w:sz="6" w:space="0"/>
            </w:tcBorders>
            <w:shd w:val="clear" w:color="auto" w:fill="auto"/>
            <w:tcMar>
              <w:top w:w="75" w:type="dxa"/>
              <w:left w:w="75" w:type="dxa"/>
              <w:bottom w:w="75" w:type="dxa"/>
              <w:right w:w="75" w:type="dxa"/>
            </w:tcMar>
            <w:vAlign w:val="center"/>
          </w:tcPr>
          <w:p>
            <w:pPr>
              <w:jc w:val="center"/>
              <w:rPr>
                <w:rFonts w:hint="eastAsia" w:ascii="宋体" w:hAnsi="宋体" w:eastAsia="宋体" w:cs="宋体"/>
                <w:sz w:val="20"/>
                <w:szCs w:val="20"/>
              </w:rPr>
            </w:pPr>
          </w:p>
        </w:tc>
        <w:tc>
          <w:tcPr>
            <w:tcW w:w="1079" w:type="dxa"/>
            <w:vMerge w:val="continue"/>
            <w:tcBorders>
              <w:bottom w:val="single" w:color="000000" w:sz="6" w:space="0"/>
              <w:right w:val="single" w:color="000000" w:sz="6" w:space="0"/>
            </w:tcBorders>
            <w:shd w:val="clear" w:color="auto" w:fill="auto"/>
            <w:tcMar>
              <w:top w:w="75" w:type="dxa"/>
              <w:left w:w="75" w:type="dxa"/>
              <w:bottom w:w="75" w:type="dxa"/>
              <w:right w:w="75" w:type="dxa"/>
            </w:tcMar>
            <w:vAlign w:val="center"/>
          </w:tcPr>
          <w:p>
            <w:pPr>
              <w:jc w:val="center"/>
              <w:rPr>
                <w:rFonts w:hint="eastAsia" w:ascii="宋体" w:hAnsi="宋体" w:eastAsia="宋体" w:cs="宋体"/>
                <w:sz w:val="20"/>
                <w:szCs w:val="20"/>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6F3EC7"/>
    <w:rsid w:val="006D2A98"/>
    <w:rsid w:val="00A010BF"/>
    <w:rsid w:val="02251150"/>
    <w:rsid w:val="02350EAE"/>
    <w:rsid w:val="025D08EA"/>
    <w:rsid w:val="029562D6"/>
    <w:rsid w:val="02F0175E"/>
    <w:rsid w:val="03305FFE"/>
    <w:rsid w:val="04267B2D"/>
    <w:rsid w:val="047A5783"/>
    <w:rsid w:val="050339CA"/>
    <w:rsid w:val="064918B1"/>
    <w:rsid w:val="068C79F0"/>
    <w:rsid w:val="079609F5"/>
    <w:rsid w:val="07F341CA"/>
    <w:rsid w:val="081952B3"/>
    <w:rsid w:val="09242161"/>
    <w:rsid w:val="095E1B17"/>
    <w:rsid w:val="099217C1"/>
    <w:rsid w:val="0B21104E"/>
    <w:rsid w:val="0B464611"/>
    <w:rsid w:val="0BC65752"/>
    <w:rsid w:val="0D8E6743"/>
    <w:rsid w:val="0E1F1149"/>
    <w:rsid w:val="0FD0094D"/>
    <w:rsid w:val="1092654A"/>
    <w:rsid w:val="10B1077E"/>
    <w:rsid w:val="1128626B"/>
    <w:rsid w:val="11916802"/>
    <w:rsid w:val="11DA1F57"/>
    <w:rsid w:val="12AC38F3"/>
    <w:rsid w:val="13160D6D"/>
    <w:rsid w:val="13AF4D1D"/>
    <w:rsid w:val="13C609E5"/>
    <w:rsid w:val="14661880"/>
    <w:rsid w:val="154D47EE"/>
    <w:rsid w:val="160A26DF"/>
    <w:rsid w:val="179150CE"/>
    <w:rsid w:val="18AE1A47"/>
    <w:rsid w:val="1A472154"/>
    <w:rsid w:val="1AF5570C"/>
    <w:rsid w:val="1BFC2ACA"/>
    <w:rsid w:val="1CA473E9"/>
    <w:rsid w:val="1EA01E32"/>
    <w:rsid w:val="1FF42436"/>
    <w:rsid w:val="21747CD2"/>
    <w:rsid w:val="21871088"/>
    <w:rsid w:val="2197751D"/>
    <w:rsid w:val="225B2C40"/>
    <w:rsid w:val="229F04B5"/>
    <w:rsid w:val="23F8626D"/>
    <w:rsid w:val="24883A94"/>
    <w:rsid w:val="25276E09"/>
    <w:rsid w:val="25916979"/>
    <w:rsid w:val="26143832"/>
    <w:rsid w:val="26BE379D"/>
    <w:rsid w:val="276C4FA7"/>
    <w:rsid w:val="27E40FE2"/>
    <w:rsid w:val="289A5B44"/>
    <w:rsid w:val="2B33475A"/>
    <w:rsid w:val="2C025EDA"/>
    <w:rsid w:val="2C0E0D23"/>
    <w:rsid w:val="2D1C121E"/>
    <w:rsid w:val="2D236108"/>
    <w:rsid w:val="2FE21674"/>
    <w:rsid w:val="30077F63"/>
    <w:rsid w:val="30F77FD8"/>
    <w:rsid w:val="316F3EC7"/>
    <w:rsid w:val="317F3B29"/>
    <w:rsid w:val="31FB3AF8"/>
    <w:rsid w:val="32E225C2"/>
    <w:rsid w:val="333C43C8"/>
    <w:rsid w:val="365657A0"/>
    <w:rsid w:val="3848736B"/>
    <w:rsid w:val="38D86941"/>
    <w:rsid w:val="3A944AE9"/>
    <w:rsid w:val="3AED0294"/>
    <w:rsid w:val="3B5878C5"/>
    <w:rsid w:val="3BBD3BCC"/>
    <w:rsid w:val="3FBA6DA0"/>
    <w:rsid w:val="40787D0B"/>
    <w:rsid w:val="40842F0A"/>
    <w:rsid w:val="40CA10BE"/>
    <w:rsid w:val="415C79E3"/>
    <w:rsid w:val="42E47C90"/>
    <w:rsid w:val="448259B3"/>
    <w:rsid w:val="44C4421D"/>
    <w:rsid w:val="453D6639"/>
    <w:rsid w:val="45FC3543"/>
    <w:rsid w:val="460E39A2"/>
    <w:rsid w:val="480037BE"/>
    <w:rsid w:val="482F1B2A"/>
    <w:rsid w:val="496A7564"/>
    <w:rsid w:val="4A301A0D"/>
    <w:rsid w:val="4BFF5B3B"/>
    <w:rsid w:val="4CAC5CC3"/>
    <w:rsid w:val="4CC823D1"/>
    <w:rsid w:val="4E772300"/>
    <w:rsid w:val="4E775E5C"/>
    <w:rsid w:val="4F443F90"/>
    <w:rsid w:val="4F5D5052"/>
    <w:rsid w:val="4F711F6A"/>
    <w:rsid w:val="505226DD"/>
    <w:rsid w:val="50B96C00"/>
    <w:rsid w:val="51C92E73"/>
    <w:rsid w:val="51DA0BDC"/>
    <w:rsid w:val="520815B8"/>
    <w:rsid w:val="525941F7"/>
    <w:rsid w:val="526D37FE"/>
    <w:rsid w:val="52862B12"/>
    <w:rsid w:val="52B72CCB"/>
    <w:rsid w:val="536A5F90"/>
    <w:rsid w:val="539F3E8B"/>
    <w:rsid w:val="551268DF"/>
    <w:rsid w:val="551B5793"/>
    <w:rsid w:val="561F5757"/>
    <w:rsid w:val="57476D14"/>
    <w:rsid w:val="576176AA"/>
    <w:rsid w:val="59A57D21"/>
    <w:rsid w:val="5B5F2152"/>
    <w:rsid w:val="5BDC37A3"/>
    <w:rsid w:val="5D6D0B56"/>
    <w:rsid w:val="5E282CCF"/>
    <w:rsid w:val="5F573FD7"/>
    <w:rsid w:val="601132C7"/>
    <w:rsid w:val="6017124D"/>
    <w:rsid w:val="60997EB4"/>
    <w:rsid w:val="619522C7"/>
    <w:rsid w:val="62145A44"/>
    <w:rsid w:val="62966DA1"/>
    <w:rsid w:val="63275C4B"/>
    <w:rsid w:val="650A5824"/>
    <w:rsid w:val="6635242D"/>
    <w:rsid w:val="666D1BC7"/>
    <w:rsid w:val="66E63727"/>
    <w:rsid w:val="66EC3434"/>
    <w:rsid w:val="67A64876"/>
    <w:rsid w:val="6A366774"/>
    <w:rsid w:val="6A6E23B2"/>
    <w:rsid w:val="6BD3071E"/>
    <w:rsid w:val="6C90660F"/>
    <w:rsid w:val="6F71097A"/>
    <w:rsid w:val="70B328CC"/>
    <w:rsid w:val="71573B9F"/>
    <w:rsid w:val="72695938"/>
    <w:rsid w:val="72A76461"/>
    <w:rsid w:val="7479207F"/>
    <w:rsid w:val="748D1686"/>
    <w:rsid w:val="74D774D1"/>
    <w:rsid w:val="75363ACC"/>
    <w:rsid w:val="75B94E29"/>
    <w:rsid w:val="768F5B89"/>
    <w:rsid w:val="76B949B4"/>
    <w:rsid w:val="778654F5"/>
    <w:rsid w:val="7791148D"/>
    <w:rsid w:val="788F3C1F"/>
    <w:rsid w:val="7B892BA7"/>
    <w:rsid w:val="7D9B6CDD"/>
    <w:rsid w:val="7DBA7990"/>
    <w:rsid w:val="7E4234E1"/>
    <w:rsid w:val="7FBF3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240" w:lineRule="atLeast"/>
      <w:outlineLvl w:val="0"/>
    </w:pPr>
    <w:rPr>
      <w:rFonts w:ascii="Times New Roman" w:hAnsi="Times New Roman"/>
      <w:bCs/>
      <w:kern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4">
    <w:name w:val="annotation text"/>
    <w:basedOn w:val="1"/>
    <w:qFormat/>
    <w:uiPriority w:val="0"/>
    <w:pPr>
      <w:jc w:val="left"/>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 w:type="character" w:customStyle="1" w:styleId="9">
    <w:name w:val="font11"/>
    <w:basedOn w:val="7"/>
    <w:qFormat/>
    <w:uiPriority w:val="0"/>
    <w:rPr>
      <w:rFonts w:hint="default" w:ascii="Times New Roman" w:hAnsi="Times New Roman" w:cs="Times New Roman"/>
      <w:color w:val="000000"/>
      <w:sz w:val="20"/>
      <w:szCs w:val="20"/>
      <w:u w:val="none"/>
    </w:rPr>
  </w:style>
  <w:style w:type="character" w:customStyle="1" w:styleId="10">
    <w:name w:val="font21"/>
    <w:basedOn w:val="7"/>
    <w:qFormat/>
    <w:uiPriority w:val="0"/>
    <w:rPr>
      <w:rFonts w:hint="default" w:ascii="方正仿宋_GBK" w:hAnsi="方正仿宋_GBK" w:eastAsia="方正仿宋_GBK" w:cs="方正仿宋_GBK"/>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104</Words>
  <Characters>110</Characters>
  <Lines>0</Lines>
  <Paragraphs>0</Paragraphs>
  <TotalTime>19</TotalTime>
  <ScaleCrop>false</ScaleCrop>
  <LinksUpToDate>false</LinksUpToDate>
  <CharactersWithSpaces>142</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2022-04-08T01:25:00Z</dcterms:created>
  <dc:creator>WPS_368346079</dc:creator>
  <cp:lastModifiedBy>Snowing</cp:lastModifiedBy>
  <dcterms:modified xsi:type="dcterms:W3CDTF">2022-06-30T02:26:38Z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y fmtid="{D5CDD505-2E9C-101B-9397-08002B2CF9AE}" pid="3" name="ICV">
    <vt:lpwstr>14B9EF0608964DF39B994E485A833560</vt:lpwstr>
  </property>
</Properties>
</file>