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</w:rPr>
        <w:t>2022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12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三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28"/>
        </w:rPr>
        <w:t>2022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28"/>
          <w:lang w:val="en-US" w:eastAsia="zh-CN"/>
        </w:rPr>
        <w:t>12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28"/>
          <w:lang w:val="en-US" w:eastAsia="zh-CN"/>
        </w:rPr>
        <w:t>16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76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完成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2021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年度电子商务进农村综合示范绩效评价迎检工作。</w:t>
      </w:r>
    </w:p>
    <w:p>
      <w:pPr>
        <w:pStyle w:val="2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asci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）接待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场外来培训，共计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73</w:t>
      </w:r>
      <w:r>
        <w:rPr>
          <w:rFonts w:hint="eastAsia" w:asci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pStyle w:val="2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.本周完成了新寨、水塘、大红山、戛洒、白鹤、平甸乡、者甸村共计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个服务站点巡查工作。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.对平甸、戛洒、水塘、扬武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个乡镇及下辖村级电商服务站点配备安装货架。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color w:val="auto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 w:bidi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）制定并印发了《新平县农产品网货化流通标准（试行）》的通知。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2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）区域公共品牌定稿，并提交注册。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3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）对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 w:bidi="zh-CN"/>
        </w:rPr>
        <w:t>10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个网货产品的包装设计进行升级改良。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cs="方正仿宋_GBK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  <w:t>本周进港件：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15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</w:t>
      </w:r>
      <w:r>
        <w:rPr>
          <w:rFonts w:hint="eastAsia" w:cs="方正仿宋_GBK"/>
          <w:bCs w:val="0"/>
          <w:color w:val="000000"/>
          <w:kern w:val="0"/>
          <w:sz w:val="32"/>
          <w:szCs w:val="32"/>
          <w:lang w:val="en-US" w:eastAsia="zh-CN" w:bidi="ar"/>
        </w:rPr>
        <w:t>万件。确认了目前已开展快递的站点清单。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农村电子商务培训体系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配合《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2021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年度电子商务进农村综合示范绩效评价》迎检工作。抽查培训回访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10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人，回访情况均为满意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绩效评价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配合领导小组及绩效评价组对新平县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2021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年电子商务进农村综合示范项目开展的绩效评价工作。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二、存在问题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培训转化孵化的案例尚未达到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%的指标。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三、下周工作计划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.对绩效评价提出的问题制定整改方案，明确整改措施、完成时间及有关责任单位责任人。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.对尚未配备安装货架的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6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个乡镇进行货架安装。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zkwZDIxYTdiYTIxNGE1NGNkZGMzMGRhYmRmOTgifQ=="/>
  </w:docVars>
  <w:rsids>
    <w:rsidRoot w:val="C6BA803A"/>
    <w:rsid w:val="00BF3242"/>
    <w:rsid w:val="057E6825"/>
    <w:rsid w:val="05E46AE3"/>
    <w:rsid w:val="07650651"/>
    <w:rsid w:val="08952D65"/>
    <w:rsid w:val="08CC67C9"/>
    <w:rsid w:val="093700E7"/>
    <w:rsid w:val="0A5C1DEE"/>
    <w:rsid w:val="0AD56363"/>
    <w:rsid w:val="0F3A26DF"/>
    <w:rsid w:val="11F46999"/>
    <w:rsid w:val="12475B5A"/>
    <w:rsid w:val="16855EC1"/>
    <w:rsid w:val="1C7D0979"/>
    <w:rsid w:val="1DEA3522"/>
    <w:rsid w:val="1EE52CE9"/>
    <w:rsid w:val="2A7C5F03"/>
    <w:rsid w:val="2A8CEB4D"/>
    <w:rsid w:val="2CE97C55"/>
    <w:rsid w:val="2FA200FA"/>
    <w:rsid w:val="33F702EF"/>
    <w:rsid w:val="35CA32B4"/>
    <w:rsid w:val="376A35CB"/>
    <w:rsid w:val="37E228EE"/>
    <w:rsid w:val="3EEB4B89"/>
    <w:rsid w:val="3FF102E8"/>
    <w:rsid w:val="3FF71661"/>
    <w:rsid w:val="495B3595"/>
    <w:rsid w:val="4CE27380"/>
    <w:rsid w:val="4DCF6B2C"/>
    <w:rsid w:val="4E7D5C7B"/>
    <w:rsid w:val="4F4E3061"/>
    <w:rsid w:val="524C18FE"/>
    <w:rsid w:val="542735F9"/>
    <w:rsid w:val="57FD5619"/>
    <w:rsid w:val="58C85C32"/>
    <w:rsid w:val="58D02F63"/>
    <w:rsid w:val="5C364B02"/>
    <w:rsid w:val="5EE3888B"/>
    <w:rsid w:val="5FC7BE76"/>
    <w:rsid w:val="60BE7595"/>
    <w:rsid w:val="63AB6261"/>
    <w:rsid w:val="6401649C"/>
    <w:rsid w:val="6A281FE2"/>
    <w:rsid w:val="6AD92226"/>
    <w:rsid w:val="6B030D4C"/>
    <w:rsid w:val="72C91CD4"/>
    <w:rsid w:val="77FF1D7B"/>
    <w:rsid w:val="7A0532CB"/>
    <w:rsid w:val="7D7FBDBF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612</Characters>
  <Lines>0</Lines>
  <Paragraphs>0</Paragraphs>
  <TotalTime>634</TotalTime>
  <ScaleCrop>false</ScaleCrop>
  <LinksUpToDate>false</LinksUpToDate>
  <CharactersWithSpaces>644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HP</cp:lastModifiedBy>
  <dcterms:modified xsi:type="dcterms:W3CDTF">2022-12-19T03:56:13Z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50AD15563DB8E108DE53BE620F238F5A</vt:lpwstr>
  </property>
</Properties>
</file>