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中宋" w:hAnsi="华文中宋" w:eastAsia="华文中宋" w:cs="华文中宋"/>
          <w:b/>
          <w:bCs/>
          <w:color w:val="FF0000"/>
          <w:sz w:val="56"/>
          <w:szCs w:val="96"/>
          <w:lang w:val="en-US" w:eastAsia="zh-CN"/>
        </w:rPr>
      </w:pPr>
      <w:r>
        <w:rPr>
          <w:rFonts w:hint="eastAsia" w:ascii="华文中宋" w:hAnsi="华文中宋" w:eastAsia="华文中宋" w:cs="华文中宋"/>
          <w:b/>
          <w:bCs/>
          <w:color w:val="FF0000"/>
          <w:sz w:val="56"/>
          <w:szCs w:val="96"/>
          <w:lang w:val="en-US" w:eastAsia="zh-CN"/>
        </w:rPr>
        <w:t>灼见电子商务（云南）有限公司</w:t>
      </w:r>
    </w:p>
    <w:p>
      <w:pPr>
        <w:jc w:val="center"/>
        <w:rPr>
          <w:rFonts w:hint="eastAsia" w:ascii="宋体" w:hAnsi="宋体" w:eastAsia="宋体" w:cs="宋体"/>
          <w:color w:val="auto"/>
          <w:sz w:val="36"/>
          <w:szCs w:val="36"/>
          <w:lang w:val="en-US" w:eastAsia="zh-CN"/>
        </w:rPr>
      </w:pPr>
      <w:r>
        <w:rPr>
          <w:sz w:val="56"/>
        </w:rPr>
        <mc:AlternateContent>
          <mc:Choice Requires="wps">
            <w:drawing>
              <wp:anchor distT="0" distB="0" distL="114300" distR="114300" simplePos="0" relativeHeight="251659264" behindDoc="0" locked="0" layoutInCell="1" allowOverlap="1">
                <wp:simplePos x="0" y="0"/>
                <wp:positionH relativeFrom="column">
                  <wp:posOffset>60325</wp:posOffset>
                </wp:positionH>
                <wp:positionV relativeFrom="paragraph">
                  <wp:posOffset>56515</wp:posOffset>
                </wp:positionV>
                <wp:extent cx="5154295" cy="0"/>
                <wp:effectExtent l="0" t="19050" r="1905" b="31750"/>
                <wp:wrapNone/>
                <wp:docPr id="1" name="直接连接符 1"/>
                <wp:cNvGraphicFramePr/>
                <a:graphic xmlns:a="http://schemas.openxmlformats.org/drawingml/2006/main">
                  <a:graphicData uri="http://schemas.microsoft.com/office/word/2010/wordprocessingShape">
                    <wps:wsp>
                      <wps:cNvCnPr/>
                      <wps:spPr>
                        <a:xfrm>
                          <a:off x="1203325" y="1544955"/>
                          <a:ext cx="5154295" cy="0"/>
                        </a:xfrm>
                        <a:prstGeom prst="line">
                          <a:avLst/>
                        </a:prstGeom>
                        <a:ln w="381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75pt;margin-top:4.45pt;height:0pt;width:405.85pt;z-index:251659264;mso-width-relative:page;mso-height-relative:page;" filled="f" stroked="t" coordsize="21600,21600" o:gfxdata="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p94YdMAAAAFAQAADwAAAAAAAAABACAAAAAiAAAAZHJzL2Rvd25yZXYueG1sUEsB&#10;AhQAFAAAAAgAh07iQIVcqUT6AQAAxAMAAA4AAAAAAAAAAQAgAAAAIgEAAGRycy9lMm9Eb2MueG1s&#10;UEsFBgAAAAAGAAYAWQEAAI4FAAAAAA==&#10;">
                <v:fill on="f" focussize="0,0"/>
                <v:stroke weight="3pt" color="#FF0000 [3204]" linestyle="thickThin" miterlimit="8" joinstyle="miter"/>
                <v:imagedata o:title=""/>
                <o:lock v:ext="edit" aspectratio="f"/>
              </v:line>
            </w:pict>
          </mc:Fallback>
        </mc:AlternateContent>
      </w:r>
    </w:p>
    <w:p>
      <w:pPr>
        <w:pageBreakBefore w:val="0"/>
        <w:widowControl w:val="0"/>
        <w:kinsoku/>
        <w:wordWrap/>
        <w:overflowPunct/>
        <w:topLinePunct w:val="0"/>
        <w:autoSpaceDE/>
        <w:autoSpaceDN/>
        <w:bidi w:val="0"/>
        <w:adjustRightInd/>
        <w:snapToGrid/>
        <w:spacing w:line="590" w:lineRule="exact"/>
        <w:jc w:val="center"/>
        <w:textAlignment w:val="auto"/>
        <w:rPr>
          <w:rFonts w:hint="eastAsia" w:ascii="仿宋" w:hAnsi="仿宋" w:eastAsia="仿宋" w:cs="仿宋"/>
          <w:color w:val="FF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小标宋_GBK" w:hAnsi="微软雅黑" w:eastAsia="方正小标宋_GBK" w:cs="微软雅黑"/>
          <w:color w:val="auto"/>
          <w:sz w:val="44"/>
          <w:szCs w:val="44"/>
          <w:lang w:val="en-US" w:eastAsia="zh-Hans"/>
        </w:rPr>
      </w:pPr>
      <w:bookmarkStart w:id="0" w:name="_Toc26488"/>
      <w:r>
        <w:rPr>
          <w:rFonts w:hint="eastAsia" w:ascii="方正小标宋_GBK" w:hAnsi="微软雅黑" w:eastAsia="方正小标宋_GBK" w:cs="微软雅黑"/>
          <w:color w:val="auto"/>
          <w:sz w:val="44"/>
          <w:szCs w:val="44"/>
          <w:lang w:val="en-US" w:eastAsia="zh-Hans"/>
        </w:rPr>
        <w:t>新平</w:t>
      </w:r>
      <w:r>
        <w:rPr>
          <w:rFonts w:hint="eastAsia" w:ascii="方正小标宋_GBK" w:hAnsi="微软雅黑" w:eastAsia="方正小标宋_GBK" w:cs="微软雅黑"/>
          <w:color w:val="auto"/>
          <w:sz w:val="44"/>
          <w:szCs w:val="44"/>
        </w:rPr>
        <w:t>县电子商务</w:t>
      </w:r>
      <w:bookmarkEnd w:id="0"/>
      <w:r>
        <w:rPr>
          <w:rFonts w:hint="eastAsia" w:ascii="方正小标宋_GBK" w:hAnsi="微软雅黑" w:eastAsia="方正小标宋_GBK" w:cs="微软雅黑"/>
          <w:color w:val="auto"/>
          <w:sz w:val="44"/>
          <w:szCs w:val="44"/>
          <w:lang w:val="en-US" w:eastAsia="zh-Hans"/>
        </w:rPr>
        <w:t>进农村综合示范项目</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小标宋_GBK" w:hAnsi="微软雅黑" w:eastAsia="方正小标宋_GBK" w:cs="微软雅黑"/>
          <w:color w:val="auto"/>
          <w:sz w:val="44"/>
          <w:szCs w:val="44"/>
        </w:rPr>
      </w:pPr>
      <w:r>
        <w:rPr>
          <w:rFonts w:hint="eastAsia" w:ascii="方正小标宋_GBK" w:hAnsi="微软雅黑" w:eastAsia="方正小标宋_GBK" w:cs="微软雅黑"/>
          <w:color w:val="auto"/>
          <w:sz w:val="44"/>
          <w:szCs w:val="44"/>
        </w:rPr>
        <w:t>推动农村商贸流通企业转型升级</w:t>
      </w:r>
      <w:r>
        <w:rPr>
          <w:rFonts w:hint="eastAsia" w:ascii="方正小标宋_GBK" w:hAnsi="微软雅黑" w:eastAsia="方正小标宋_GBK" w:cs="微软雅黑"/>
          <w:color w:val="auto"/>
          <w:sz w:val="44"/>
          <w:szCs w:val="44"/>
          <w:lang w:val="en-US" w:eastAsia="zh-Hans"/>
        </w:rPr>
        <w:t>运营</w:t>
      </w:r>
      <w:r>
        <w:rPr>
          <w:rFonts w:hint="eastAsia" w:ascii="方正小标宋_GBK" w:hAnsi="微软雅黑" w:eastAsia="方正小标宋_GBK" w:cs="微软雅黑"/>
          <w:color w:val="auto"/>
          <w:sz w:val="44"/>
          <w:szCs w:val="44"/>
        </w:rPr>
        <w:t>方案</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小标宋_GBK" w:hAnsi="微软雅黑" w:eastAsia="方正小标宋_GBK" w:cs="微软雅黑"/>
          <w:color w:val="auto"/>
          <w:sz w:val="44"/>
          <w:szCs w:val="44"/>
          <w:lang w:val="en-US" w:eastAsia="zh-Hans"/>
        </w:rPr>
      </w:pPr>
      <w:r>
        <w:rPr>
          <w:rFonts w:hint="eastAsia" w:ascii="方正小标宋_GBK" w:hAnsi="微软雅黑" w:eastAsia="方正小标宋_GBK" w:cs="微软雅黑"/>
          <w:color w:val="auto"/>
          <w:sz w:val="44"/>
          <w:szCs w:val="44"/>
          <w:lang w:val="en-US" w:eastAsia="zh-Hans"/>
        </w:rPr>
        <w:t>暨工业品下乡服务体系建设方案</w:t>
      </w:r>
    </w:p>
    <w:p>
      <w:pPr>
        <w:pStyle w:val="2"/>
        <w:pageBreakBefore w:val="0"/>
        <w:widowControl w:val="0"/>
        <w:kinsoku/>
        <w:wordWrap/>
        <w:overflowPunct/>
        <w:topLinePunct w:val="0"/>
        <w:autoSpaceDE/>
        <w:autoSpaceDN/>
        <w:bidi w:val="0"/>
        <w:adjustRightInd/>
        <w:snapToGrid/>
        <w:spacing w:line="590" w:lineRule="exact"/>
        <w:jc w:val="center"/>
        <w:textAlignment w:val="auto"/>
        <w:rPr>
          <w:rFonts w:hint="eastAsia"/>
        </w:rPr>
      </w:pP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rPr>
        <w:t>根据《财政部办公厅</w:t>
      </w:r>
      <w:r>
        <w:rPr>
          <w:rFonts w:hint="default" w:ascii="Times New Roman" w:hAnsi="Times New Roman" w:eastAsia="方正仿宋_GBK" w:cs="Times New Roman"/>
          <w:b w:val="0"/>
          <w:bCs/>
          <w:sz w:val="32"/>
          <w:szCs w:val="32"/>
          <w:lang w:val="en-US" w:eastAsia="zh-CN"/>
        </w:rPr>
        <w:t xml:space="preserve"> </w:t>
      </w:r>
      <w:r>
        <w:rPr>
          <w:rFonts w:hint="default" w:ascii="Times New Roman" w:hAnsi="Times New Roman" w:eastAsia="方正仿宋_GBK" w:cs="Times New Roman"/>
          <w:b w:val="0"/>
          <w:bCs/>
          <w:sz w:val="32"/>
          <w:szCs w:val="32"/>
        </w:rPr>
        <w:t>商务部办公</w:t>
      </w:r>
      <w:r>
        <w:rPr>
          <w:rFonts w:hint="default" w:ascii="Times New Roman" w:hAnsi="Times New Roman" w:eastAsia="方正仿宋_GBK" w:cs="Times New Roman"/>
          <w:b w:val="0"/>
          <w:bCs/>
          <w:color w:val="000000"/>
          <w:sz w:val="32"/>
          <w:szCs w:val="32"/>
        </w:rPr>
        <w:t>厅</w:t>
      </w:r>
      <w:r>
        <w:rPr>
          <w:rFonts w:hint="default" w:ascii="Times New Roman" w:hAnsi="Times New Roman" w:eastAsia="方正仿宋_GBK" w:cs="Times New Roman"/>
          <w:b w:val="0"/>
          <w:bCs/>
          <w:sz w:val="32"/>
          <w:szCs w:val="32"/>
          <w:lang w:val="en-US" w:eastAsia="zh-CN"/>
        </w:rPr>
        <w:t xml:space="preserve"> </w:t>
      </w:r>
      <w:r>
        <w:rPr>
          <w:rFonts w:hint="default" w:ascii="Times New Roman" w:hAnsi="Times New Roman" w:eastAsia="方正仿宋_GBK" w:cs="Times New Roman"/>
          <w:b w:val="0"/>
          <w:bCs/>
          <w:sz w:val="32"/>
          <w:szCs w:val="32"/>
        </w:rPr>
        <w:t>国家乡村振兴局综合司关于开展2021年电子商务进农村综合示范工作的通知》（财办建〔2021〕38号）、《云南省商务厅</w:t>
      </w:r>
      <w:r>
        <w:rPr>
          <w:rFonts w:hint="default" w:ascii="Times New Roman" w:hAnsi="Times New Roman" w:eastAsia="方正仿宋_GBK" w:cs="Times New Roman"/>
          <w:b w:val="0"/>
          <w:bCs/>
          <w:sz w:val="32"/>
          <w:szCs w:val="32"/>
          <w:lang w:val="en-US" w:eastAsia="zh-CN"/>
        </w:rPr>
        <w:t xml:space="preserve"> </w:t>
      </w:r>
      <w:r>
        <w:rPr>
          <w:rFonts w:hint="default" w:ascii="Times New Roman" w:hAnsi="Times New Roman" w:eastAsia="方正仿宋_GBK" w:cs="Times New Roman"/>
          <w:b w:val="0"/>
          <w:bCs/>
          <w:sz w:val="32"/>
          <w:szCs w:val="32"/>
        </w:rPr>
        <w:t>云南省财政厅</w:t>
      </w:r>
      <w:r>
        <w:rPr>
          <w:rFonts w:hint="default" w:ascii="Times New Roman" w:hAnsi="Times New Roman" w:eastAsia="方正仿宋_GBK" w:cs="Times New Roman"/>
          <w:b w:val="0"/>
          <w:bCs/>
          <w:sz w:val="32"/>
          <w:szCs w:val="32"/>
          <w:lang w:val="en-US" w:eastAsia="zh-CN"/>
        </w:rPr>
        <w:t xml:space="preserve"> </w:t>
      </w:r>
      <w:r>
        <w:rPr>
          <w:rFonts w:hint="default" w:ascii="Times New Roman" w:hAnsi="Times New Roman" w:eastAsia="方正仿宋_GBK" w:cs="Times New Roman"/>
          <w:b w:val="0"/>
          <w:bCs/>
          <w:sz w:val="32"/>
          <w:szCs w:val="32"/>
        </w:rPr>
        <w:t>云南省乡村振兴局关于做好2021年电子商务进农村综合示范项目及资金管理有关工作的通知》（云商电商〔2021〕47号）、《</w:t>
      </w:r>
      <w:r>
        <w:rPr>
          <w:rFonts w:hint="default" w:ascii="Times New Roman" w:hAnsi="Times New Roman" w:eastAsia="方正仿宋_GBK" w:cs="Times New Roman"/>
          <w:b w:val="0"/>
          <w:bCs/>
          <w:sz w:val="32"/>
          <w:szCs w:val="32"/>
          <w:lang w:eastAsia="zh-CN"/>
        </w:rPr>
        <w:t>玉溪市</w:t>
      </w:r>
      <w:r>
        <w:rPr>
          <w:rFonts w:hint="default" w:ascii="Times New Roman" w:hAnsi="Times New Roman" w:eastAsia="方正仿宋_GBK" w:cs="Times New Roman"/>
          <w:b w:val="0"/>
          <w:bCs/>
          <w:sz w:val="32"/>
          <w:szCs w:val="32"/>
        </w:rPr>
        <w:t>商务局</w:t>
      </w:r>
      <w:r>
        <w:rPr>
          <w:rFonts w:hint="default" w:ascii="Times New Roman" w:hAnsi="Times New Roman" w:eastAsia="方正仿宋_GBK" w:cs="Times New Roman"/>
          <w:b w:val="0"/>
          <w:bCs/>
          <w:sz w:val="32"/>
          <w:szCs w:val="32"/>
          <w:lang w:val="en-US" w:eastAsia="zh-CN"/>
        </w:rPr>
        <w:t xml:space="preserve"> </w:t>
      </w:r>
      <w:r>
        <w:rPr>
          <w:rFonts w:hint="default" w:ascii="Times New Roman" w:hAnsi="Times New Roman" w:eastAsia="方正仿宋_GBK" w:cs="Times New Roman"/>
          <w:b w:val="0"/>
          <w:bCs/>
          <w:sz w:val="32"/>
          <w:szCs w:val="32"/>
          <w:lang w:eastAsia="zh-CN"/>
        </w:rPr>
        <w:t>玉溪市</w:t>
      </w:r>
      <w:r>
        <w:rPr>
          <w:rFonts w:hint="default" w:ascii="Times New Roman" w:hAnsi="Times New Roman" w:eastAsia="方正仿宋_GBK" w:cs="Times New Roman"/>
          <w:b w:val="0"/>
          <w:bCs/>
          <w:sz w:val="32"/>
          <w:szCs w:val="32"/>
        </w:rPr>
        <w:t>财政</w:t>
      </w:r>
      <w:r>
        <w:rPr>
          <w:rFonts w:hint="default" w:ascii="Times New Roman" w:hAnsi="Times New Roman" w:eastAsia="方正仿宋_GBK" w:cs="Times New Roman"/>
          <w:b w:val="0"/>
          <w:bCs/>
          <w:sz w:val="32"/>
          <w:szCs w:val="32"/>
          <w:lang w:val="en-US" w:eastAsia="zh-CN"/>
        </w:rPr>
        <w:t xml:space="preserve">局 </w:t>
      </w:r>
      <w:r>
        <w:rPr>
          <w:rFonts w:hint="default" w:ascii="Times New Roman" w:hAnsi="Times New Roman" w:eastAsia="方正仿宋_GBK" w:cs="Times New Roman"/>
          <w:b w:val="0"/>
          <w:bCs/>
          <w:sz w:val="32"/>
          <w:szCs w:val="32"/>
          <w:lang w:eastAsia="zh-CN"/>
        </w:rPr>
        <w:t>玉溪市</w:t>
      </w:r>
      <w:r>
        <w:rPr>
          <w:rFonts w:hint="default" w:ascii="Times New Roman" w:hAnsi="Times New Roman" w:eastAsia="方正仿宋_GBK" w:cs="Times New Roman"/>
          <w:b w:val="0"/>
          <w:bCs/>
          <w:sz w:val="32"/>
          <w:szCs w:val="32"/>
        </w:rPr>
        <w:t>乡村振兴局关于印发</w:t>
      </w:r>
      <w:r>
        <w:rPr>
          <w:rFonts w:hint="default" w:ascii="Times New Roman" w:hAnsi="Times New Roman" w:eastAsia="方正仿宋_GBK" w:cs="Times New Roman"/>
          <w:b w:val="0"/>
          <w:bCs/>
          <w:sz w:val="32"/>
          <w:szCs w:val="32"/>
          <w:lang w:eastAsia="zh-CN"/>
        </w:rPr>
        <w:t>玉溪市</w:t>
      </w:r>
      <w:r>
        <w:rPr>
          <w:rFonts w:hint="default" w:ascii="Times New Roman" w:hAnsi="Times New Roman" w:eastAsia="方正仿宋_GBK" w:cs="Times New Roman"/>
          <w:b w:val="0"/>
          <w:bCs/>
          <w:sz w:val="32"/>
          <w:szCs w:val="32"/>
        </w:rPr>
        <w:t>2021年电子商务进农村综合示范项目实施方案的函》（玉商函〔2021〕44号）</w:t>
      </w:r>
      <w:r>
        <w:rPr>
          <w:rFonts w:hint="default" w:ascii="Times New Roman" w:hAnsi="Times New Roman" w:eastAsia="方正仿宋_GBK" w:cs="Times New Roman"/>
          <w:b w:val="0"/>
          <w:bCs/>
          <w:sz w:val="32"/>
          <w:szCs w:val="32"/>
          <w:lang w:eastAsia="zh-CN"/>
        </w:rPr>
        <w:t>、《</w:t>
      </w:r>
      <w:r>
        <w:rPr>
          <w:rFonts w:hint="default" w:ascii="Times New Roman" w:hAnsi="Times New Roman" w:eastAsia="方正仿宋_GBK" w:cs="Times New Roman"/>
          <w:b w:val="0"/>
          <w:bCs/>
          <w:sz w:val="32"/>
          <w:szCs w:val="32"/>
        </w:rPr>
        <w:t>新平彝族傣族自治县人民政府关于印发新平县2021年电子商务进农村综合示范项目实施方案的通知</w:t>
      </w:r>
      <w:r>
        <w:rPr>
          <w:rFonts w:hint="default" w:ascii="Times New Roman" w:hAnsi="Times New Roman" w:eastAsia="方正仿宋_GBK" w:cs="Times New Roman"/>
          <w:b w:val="0"/>
          <w:bCs/>
          <w:sz w:val="32"/>
          <w:szCs w:val="32"/>
          <w:lang w:eastAsia="zh-CN"/>
        </w:rPr>
        <w:t>》（</w:t>
      </w:r>
      <w:r>
        <w:rPr>
          <w:rFonts w:hint="default" w:ascii="Times New Roman" w:hAnsi="Times New Roman" w:eastAsia="方正仿宋_GBK" w:cs="Times New Roman"/>
          <w:b w:val="0"/>
          <w:bCs/>
          <w:sz w:val="32"/>
          <w:szCs w:val="32"/>
        </w:rPr>
        <w:t>新政通〔2021〕24号</w:t>
      </w:r>
      <w:r>
        <w:rPr>
          <w:rFonts w:hint="default" w:ascii="Times New Roman" w:hAnsi="Times New Roman" w:eastAsia="方正仿宋_GBK" w:cs="Times New Roman"/>
          <w:b w:val="0"/>
          <w:bCs/>
          <w:sz w:val="32"/>
          <w:szCs w:val="32"/>
          <w:lang w:eastAsia="zh-CN"/>
        </w:rPr>
        <w:t>）、《</w:t>
      </w:r>
      <w:r>
        <w:rPr>
          <w:rFonts w:hint="default" w:ascii="Times New Roman" w:hAnsi="Times New Roman" w:eastAsia="方正仿宋_GBK" w:cs="Times New Roman"/>
          <w:b w:val="0"/>
          <w:bCs/>
          <w:sz w:val="32"/>
          <w:szCs w:val="32"/>
        </w:rPr>
        <w:t>新平彝族傣族自治县人民政府关于印发新平县2021年电子商务进农村综合示范项目专项资金管理办法的通知</w:t>
      </w:r>
      <w:r>
        <w:rPr>
          <w:rFonts w:hint="default" w:ascii="Times New Roman" w:hAnsi="Times New Roman" w:eastAsia="方正仿宋_GBK" w:cs="Times New Roman"/>
          <w:b w:val="0"/>
          <w:bCs/>
          <w:sz w:val="32"/>
          <w:szCs w:val="32"/>
          <w:lang w:eastAsia="zh-CN"/>
        </w:rPr>
        <w:t>》（</w:t>
      </w:r>
      <w:r>
        <w:rPr>
          <w:rFonts w:hint="default" w:ascii="Times New Roman" w:hAnsi="Times New Roman" w:eastAsia="方正仿宋_GBK" w:cs="Times New Roman"/>
          <w:b w:val="0"/>
          <w:bCs/>
          <w:sz w:val="32"/>
          <w:szCs w:val="32"/>
        </w:rPr>
        <w:t>新政通〔2021〕25号</w:t>
      </w:r>
      <w:r>
        <w:rPr>
          <w:rFonts w:hint="default" w:ascii="Times New Roman" w:hAnsi="Times New Roman" w:eastAsia="方正仿宋_GBK" w:cs="Times New Roman"/>
          <w:b w:val="0"/>
          <w:bCs/>
          <w:sz w:val="32"/>
          <w:szCs w:val="32"/>
          <w:lang w:eastAsia="zh-CN"/>
        </w:rPr>
        <w:t>），</w:t>
      </w:r>
      <w:r>
        <w:rPr>
          <w:rFonts w:hint="default" w:ascii="Times New Roman" w:hAnsi="Times New Roman" w:eastAsia="方正仿宋_GBK" w:cs="Times New Roman"/>
          <w:b w:val="0"/>
          <w:bCs/>
          <w:sz w:val="32"/>
          <w:szCs w:val="32"/>
          <w:lang w:val="en-US" w:eastAsia="zh-CN"/>
        </w:rPr>
        <w:t>为推动农村商贸流通企业转型升级，面向农村提供数字乡村技术服务，支持引导农村商贸流通企业由传统线下业务转化为线上业务，提升农村流通水平，</w:t>
      </w:r>
      <w:r>
        <w:rPr>
          <w:rFonts w:hint="default" w:ascii="Times New Roman" w:hAnsi="Times New Roman" w:eastAsia="方正仿宋_GBK" w:cs="Times New Roman"/>
          <w:b w:val="0"/>
          <w:bCs/>
          <w:sz w:val="32"/>
          <w:szCs w:val="32"/>
          <w:lang w:val="en-US" w:eastAsia="zh-Hans"/>
        </w:rPr>
        <w:t>更好满足农村居民生活和消费需求</w:t>
      </w:r>
      <w:r>
        <w:rPr>
          <w:rFonts w:hint="default" w:ascii="Times New Roman" w:hAnsi="Times New Roman" w:eastAsia="方正仿宋_GBK" w:cs="Times New Roman"/>
          <w:b w:val="0"/>
          <w:bCs/>
          <w:sz w:val="32"/>
          <w:szCs w:val="32"/>
          <w:lang w:val="en-US" w:eastAsia="zh-CN"/>
        </w:rPr>
        <w:t>，根据新平县实际情况，特制定本方案。</w:t>
      </w:r>
    </w:p>
    <w:p>
      <w:pPr>
        <w:pStyle w:val="3"/>
        <w:keepNext/>
        <w:keepLines/>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outlineLvl w:val="1"/>
        <w:rPr>
          <w:rFonts w:hint="eastAsia" w:ascii="方正黑体_GBK" w:hAnsi="方正黑体_GBK" w:eastAsia="方正黑体_GBK" w:cs="方正黑体_GBK"/>
          <w:b w:val="0"/>
          <w:bCs/>
          <w:sz w:val="32"/>
          <w:szCs w:val="52"/>
          <w:lang w:val="en-US" w:eastAsia="zh-CN"/>
        </w:rPr>
      </w:pPr>
      <w:bookmarkStart w:id="1" w:name="_Toc7717"/>
      <w:bookmarkStart w:id="2" w:name="_Toc23042"/>
      <w:r>
        <w:rPr>
          <w:rFonts w:hint="eastAsia" w:ascii="方正黑体_GBK" w:hAnsi="方正黑体_GBK" w:eastAsia="方正黑体_GBK" w:cs="方正黑体_GBK"/>
          <w:b w:val="0"/>
          <w:bCs/>
          <w:sz w:val="32"/>
          <w:szCs w:val="52"/>
          <w:lang w:val="en-US" w:eastAsia="zh-CN"/>
        </w:rPr>
        <w:t>一、指导思想</w:t>
      </w:r>
      <w:bookmarkEnd w:id="1"/>
      <w:bookmarkEnd w:id="2"/>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政府引导，创新驱动发展。依据现代服务业行业门类广、知识密集度高、发展空间大等方面的特点，坚持政府搭台主导，企业主体运作，集聚与调动产学研各方创新要素、人才和技术资源，深入探索产学研合作的有效模式，创新现代服务业发展的多方合作机制，搭建合作平台，</w:t>
      </w:r>
      <w:r>
        <w:rPr>
          <w:rFonts w:hint="default" w:ascii="Times New Roman" w:hAnsi="Times New Roman" w:eastAsia="方正仿宋_GBK" w:cs="Times New Roman"/>
          <w:b w:val="0"/>
          <w:bCs/>
          <w:sz w:val="32"/>
          <w:szCs w:val="32"/>
          <w:lang w:eastAsia="zh-CN"/>
        </w:rPr>
        <w:t>整合</w:t>
      </w:r>
      <w:r>
        <w:rPr>
          <w:rFonts w:hint="default" w:ascii="Times New Roman" w:hAnsi="Times New Roman" w:eastAsia="方正仿宋_GBK" w:cs="Times New Roman"/>
          <w:b w:val="0"/>
          <w:bCs/>
          <w:sz w:val="32"/>
          <w:szCs w:val="32"/>
          <w:lang w:val="en-US" w:eastAsia="zh-CN"/>
        </w:rPr>
        <w:t>优化</w:t>
      </w:r>
      <w:r>
        <w:rPr>
          <w:rFonts w:hint="default" w:ascii="Times New Roman" w:hAnsi="Times New Roman" w:eastAsia="方正仿宋_GBK" w:cs="Times New Roman"/>
          <w:b w:val="0"/>
          <w:bCs/>
          <w:sz w:val="32"/>
          <w:szCs w:val="32"/>
          <w:lang w:eastAsia="zh-CN"/>
        </w:rPr>
        <w:t>商贸流通服务结构</w:t>
      </w:r>
      <w:r>
        <w:rPr>
          <w:rFonts w:hint="default" w:ascii="Times New Roman" w:hAnsi="Times New Roman" w:eastAsia="方正仿宋_GBK" w:cs="Times New Roman"/>
          <w:b w:val="0"/>
          <w:bCs/>
          <w:sz w:val="32"/>
          <w:szCs w:val="32"/>
          <w:lang w:val="en-US" w:eastAsia="zh-CN"/>
        </w:rPr>
        <w:t>，推动业态创新、技术创新、管理创新、</w:t>
      </w:r>
      <w:r>
        <w:rPr>
          <w:rFonts w:hint="default" w:ascii="Times New Roman" w:hAnsi="Times New Roman" w:eastAsia="方正仿宋_GBK" w:cs="Times New Roman"/>
          <w:b w:val="0"/>
          <w:bCs/>
          <w:sz w:val="32"/>
          <w:szCs w:val="32"/>
          <w:lang w:eastAsia="zh-CN"/>
        </w:rPr>
        <w:t>运作</w:t>
      </w:r>
      <w:r>
        <w:rPr>
          <w:rFonts w:hint="default" w:ascii="Times New Roman" w:hAnsi="Times New Roman" w:eastAsia="方正仿宋_GBK" w:cs="Times New Roman"/>
          <w:b w:val="0"/>
          <w:bCs/>
          <w:sz w:val="32"/>
          <w:szCs w:val="32"/>
          <w:lang w:val="en-US" w:eastAsia="zh-CN"/>
        </w:rPr>
        <w:t>机制创新，为全县现代服务业集聚区的发展注入强劲动力。</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全面推进，突出优势。以电子商务进农村综合示范项目为支撑，积极推进传统商贸流通企业转型升级，加快推动市场体系建设、涉农市场主体大力拓展市场、配套物流配送体系等流通基础设施建设；同时突出区域产业及行业的比较优势，依托新平县特色农产品资源，围绕传统产业所积淀的发展基础，重点突出农贸市场、市场拓展、物流配送等产业发展。</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统筹协调，区域联动发展。立足新平现代服务业的现实基础，把握未来发展趋势，坚持改造提升传统服务业与加快发展现代服务业并举；坚持优先发展生产性服务业与积极繁荣生活性服务业、公共服务业并举。加快新平县域内、外产业联动发展，提升服务业发展水平，促进服务业高质、协调发展，提升发展质量和综合竞争力。</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以人为本，公平共享。围绕云南省“绿色发展”战略，充分发挥传统商贸流通企业转型升级拉动内需的积极作用，培育新的经济增长点，</w:t>
      </w:r>
      <w:r>
        <w:rPr>
          <w:rFonts w:hint="default" w:ascii="Times New Roman" w:hAnsi="Times New Roman" w:eastAsia="方正仿宋_GBK" w:cs="Times New Roman"/>
          <w:b w:val="0"/>
          <w:bCs/>
          <w:sz w:val="32"/>
          <w:szCs w:val="32"/>
          <w:lang w:eastAsia="zh-CN"/>
        </w:rPr>
        <w:t>通过</w:t>
      </w:r>
      <w:r>
        <w:rPr>
          <w:rFonts w:hint="default" w:ascii="Times New Roman" w:hAnsi="Times New Roman" w:eastAsia="方正仿宋_GBK" w:cs="Times New Roman"/>
          <w:b w:val="0"/>
          <w:bCs/>
          <w:sz w:val="32"/>
          <w:szCs w:val="32"/>
          <w:lang w:val="en-US" w:eastAsia="zh-CN"/>
        </w:rPr>
        <w:t>推动市场</w:t>
      </w:r>
      <w:r>
        <w:rPr>
          <w:rFonts w:hint="default" w:ascii="Times New Roman" w:hAnsi="Times New Roman" w:eastAsia="方正仿宋_GBK" w:cs="Times New Roman"/>
          <w:b w:val="0"/>
          <w:bCs/>
          <w:sz w:val="32"/>
          <w:szCs w:val="32"/>
          <w:lang w:eastAsia="zh-CN"/>
        </w:rPr>
        <w:t>运营管理</w:t>
      </w:r>
      <w:r>
        <w:rPr>
          <w:rFonts w:hint="default" w:ascii="Times New Roman" w:hAnsi="Times New Roman" w:eastAsia="方正仿宋_GBK" w:cs="Times New Roman"/>
          <w:b w:val="0"/>
          <w:bCs/>
          <w:sz w:val="32"/>
          <w:szCs w:val="32"/>
          <w:lang w:val="en-US" w:eastAsia="zh-CN"/>
        </w:rPr>
        <w:t>体系建设，提升居民消费便利水平；同时发挥服务业吸纳就业的作用，优先保障弱势群体和困难群众基本的服务业消费，保障绝大多数居民能享受服务业带来的现代文明成果。</w:t>
      </w:r>
    </w:p>
    <w:p>
      <w:pPr>
        <w:pStyle w:val="3"/>
        <w:keepNext/>
        <w:keepLines/>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outlineLvl w:val="1"/>
        <w:rPr>
          <w:rFonts w:hint="eastAsia" w:ascii="方正黑体_GBK" w:hAnsi="方正黑体_GBK" w:eastAsia="方正黑体_GBK" w:cs="方正黑体_GBK"/>
          <w:b w:val="0"/>
          <w:bCs/>
          <w:sz w:val="32"/>
          <w:szCs w:val="52"/>
          <w:lang w:val="en-US" w:eastAsia="zh-CN"/>
        </w:rPr>
      </w:pPr>
      <w:bookmarkStart w:id="3" w:name="_Toc26821"/>
      <w:bookmarkStart w:id="4" w:name="_Toc218"/>
      <w:r>
        <w:rPr>
          <w:rFonts w:hint="eastAsia" w:ascii="方正黑体_GBK" w:hAnsi="方正黑体_GBK" w:eastAsia="方正黑体_GBK" w:cs="方正黑体_GBK"/>
          <w:b w:val="0"/>
          <w:bCs/>
          <w:sz w:val="32"/>
          <w:szCs w:val="52"/>
          <w:lang w:val="en-US" w:eastAsia="zh-CN"/>
        </w:rPr>
        <w:t>二、总体目标</w:t>
      </w:r>
      <w:bookmarkEnd w:id="3"/>
      <w:bookmarkEnd w:id="4"/>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发挥“新基建”对数字经济产业、传统产业数字化转型升级的应用，支持我县商贸流通企业的数字化转型升级，加强与电子商务、金融保险、移动支付、就业引导等资源对接，促进业务流程和组织结构优化重组，实现线上线下融合发展，建立本地化、连锁化、信息化的商品流通</w:t>
      </w:r>
      <w:r>
        <w:rPr>
          <w:rFonts w:hint="eastAsia" w:ascii="Times New Roman" w:hAnsi="Times New Roman" w:eastAsia="方正仿宋_GBK" w:cs="Times New Roman"/>
          <w:color w:val="auto"/>
          <w:sz w:val="32"/>
          <w:szCs w:val="32"/>
          <w:lang w:val="en-US" w:eastAsia="zh-CN"/>
        </w:rPr>
        <w:t>网络</w:t>
      </w:r>
      <w:r>
        <w:rPr>
          <w:rFonts w:hint="default" w:ascii="Times New Roman" w:hAnsi="Times New Roman" w:eastAsia="方正仿宋_GBK" w:cs="Times New Roman"/>
          <w:b w:val="0"/>
          <w:bCs/>
          <w:sz w:val="32"/>
          <w:szCs w:val="32"/>
          <w:lang w:val="en-US" w:eastAsia="zh-CN"/>
        </w:rPr>
        <w:t>。引导支持大型流通企业以乡镇为重点下沉供应链，开展集中采购、统一配送、直供直销等业务，提升商品品质，更好满足农村居民消费需求。借助阿里、京东、拼多多等第三方互联网平台以及传统具有优势的采购渠道，实现下乡产品统一采购，降低采购成本。建设工业品下乡统一仓储中心，依托电子商务服务站点与电子商务物流站点，打造工业品下乡品牌店，支持商贸流通企业数字化转型升级，构建一套完善的进存销管理系统与</w:t>
      </w:r>
      <w:r>
        <w:rPr>
          <w:rFonts w:hint="default" w:ascii="Times New Roman" w:hAnsi="Times New Roman" w:eastAsia="方正仿宋_GBK" w:cs="Times New Roman"/>
          <w:b w:val="0"/>
          <w:bCs/>
          <w:sz w:val="32"/>
          <w:szCs w:val="32"/>
          <w:lang w:eastAsia="zh-CN"/>
        </w:rPr>
        <w:t>物流</w:t>
      </w:r>
      <w:r>
        <w:rPr>
          <w:rFonts w:hint="default" w:ascii="Times New Roman" w:hAnsi="Times New Roman" w:eastAsia="方正仿宋_GBK" w:cs="Times New Roman"/>
          <w:b w:val="0"/>
          <w:bCs/>
          <w:sz w:val="32"/>
          <w:szCs w:val="32"/>
          <w:lang w:val="en-US" w:eastAsia="zh-CN"/>
        </w:rPr>
        <w:t>配送体系。</w:t>
      </w:r>
    </w:p>
    <w:p>
      <w:pPr>
        <w:pStyle w:val="3"/>
        <w:keepNext/>
        <w:keepLines/>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outlineLvl w:val="1"/>
        <w:rPr>
          <w:rFonts w:hint="eastAsia" w:ascii="方正黑体_GBK" w:hAnsi="方正黑体_GBK" w:eastAsia="方正黑体_GBK" w:cs="方正黑体_GBK"/>
          <w:b w:val="0"/>
          <w:bCs/>
          <w:sz w:val="32"/>
          <w:szCs w:val="52"/>
          <w:lang w:val="en-US" w:eastAsia="zh-CN"/>
        </w:rPr>
      </w:pPr>
      <w:bookmarkStart w:id="5" w:name="_Toc11948"/>
      <w:bookmarkStart w:id="6" w:name="_Toc7816"/>
      <w:r>
        <w:rPr>
          <w:rFonts w:hint="eastAsia" w:ascii="方正黑体_GBK" w:hAnsi="方正黑体_GBK" w:eastAsia="方正黑体_GBK" w:cs="方正黑体_GBK"/>
          <w:b w:val="0"/>
          <w:bCs/>
          <w:sz w:val="32"/>
          <w:szCs w:val="52"/>
          <w:lang w:val="en-US" w:eastAsia="zh-CN"/>
        </w:rPr>
        <w:t>三、总体要求</w:t>
      </w:r>
      <w:bookmarkEnd w:id="5"/>
      <w:bookmarkEnd w:id="6"/>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eastAsia" w:ascii="方正仿宋_GBK" w:hAnsi="方正仿宋_GBK" w:eastAsia="方正仿宋_GBK" w:cs="方正仿宋_GBK"/>
          <w:b w:val="0"/>
          <w:bCs/>
          <w:sz w:val="32"/>
          <w:szCs w:val="32"/>
          <w:lang w:val="en-US" w:eastAsia="zh-CN"/>
        </w:rPr>
      </w:pPr>
      <w:r>
        <w:rPr>
          <w:rFonts w:hint="eastAsia" w:ascii="方正仿宋_GBK" w:hAnsi="方正仿宋_GBK" w:eastAsia="方正仿宋_GBK" w:cs="方正仿宋_GBK"/>
          <w:b w:val="0"/>
          <w:bCs/>
          <w:sz w:val="32"/>
          <w:szCs w:val="32"/>
          <w:lang w:val="en-US" w:eastAsia="zh-CN"/>
        </w:rPr>
        <w:t>坚持"创新、协调、绿色、开放、共享"五大发展理念，遵循"以市场化改革为方向、以转变政府职能为核心、以创新转型为引领、以营造法治化营商环境为主线"基本原则，</w:t>
      </w:r>
      <w:r>
        <w:rPr>
          <w:rFonts w:hint="eastAsia" w:ascii="方正仿宋_GBK" w:hAnsi="方正仿宋_GBK" w:eastAsia="方正仿宋_GBK" w:cs="方正仿宋_GBK"/>
          <w:b w:val="0"/>
          <w:bCs/>
          <w:sz w:val="32"/>
          <w:szCs w:val="32"/>
          <w:lang w:eastAsia="zh-CN"/>
        </w:rPr>
        <w:t>协调政府、协会、运营商、供应商、服务商等，</w:t>
      </w:r>
      <w:r>
        <w:rPr>
          <w:rFonts w:hint="eastAsia" w:ascii="方正仿宋_GBK" w:hAnsi="方正仿宋_GBK" w:eastAsia="方正仿宋_GBK" w:cs="方正仿宋_GBK"/>
          <w:b w:val="0"/>
          <w:bCs/>
          <w:sz w:val="32"/>
          <w:szCs w:val="32"/>
          <w:lang w:val="en-US" w:eastAsia="zh-CN"/>
        </w:rPr>
        <w:t>围绕</w:t>
      </w:r>
      <w:r>
        <w:rPr>
          <w:rFonts w:hint="eastAsia" w:ascii="方正仿宋_GBK" w:hAnsi="方正仿宋_GBK" w:eastAsia="方正仿宋_GBK" w:cs="方正仿宋_GBK"/>
          <w:b w:val="0"/>
          <w:bCs/>
          <w:color w:val="auto"/>
          <w:sz w:val="32"/>
          <w:szCs w:val="32"/>
          <w:lang w:val="en-US" w:eastAsia="zh-CN"/>
        </w:rPr>
        <w:t>加快</w:t>
      </w:r>
      <w:r>
        <w:rPr>
          <w:rFonts w:hint="eastAsia" w:ascii="方正仿宋_GBK" w:hAnsi="方正仿宋_GBK" w:eastAsia="方正仿宋_GBK" w:cs="方正仿宋_GBK"/>
          <w:b w:val="0"/>
          <w:bCs/>
          <w:color w:val="auto"/>
          <w:sz w:val="32"/>
          <w:szCs w:val="32"/>
          <w:lang w:eastAsia="zh-CN"/>
        </w:rPr>
        <w:t>协</w:t>
      </w:r>
      <w:r>
        <w:rPr>
          <w:rFonts w:hint="eastAsia" w:ascii="方正仿宋_GBK" w:hAnsi="方正仿宋_GBK" w:eastAsia="方正仿宋_GBK" w:cs="方正仿宋_GBK"/>
          <w:b w:val="0"/>
          <w:bCs/>
          <w:color w:val="auto"/>
          <w:sz w:val="32"/>
          <w:szCs w:val="32"/>
          <w:lang w:val="en-US" w:eastAsia="zh-CN"/>
        </w:rPr>
        <w:t>调结构转</w:t>
      </w:r>
      <w:r>
        <w:rPr>
          <w:rFonts w:hint="eastAsia" w:ascii="方正仿宋_GBK" w:hAnsi="方正仿宋_GBK" w:eastAsia="方正仿宋_GBK" w:cs="方正仿宋_GBK"/>
          <w:b w:val="0"/>
          <w:bCs/>
          <w:color w:val="auto"/>
          <w:sz w:val="32"/>
          <w:szCs w:val="32"/>
          <w:lang w:eastAsia="zh-CN"/>
        </w:rPr>
        <w:t>换</w:t>
      </w:r>
      <w:r>
        <w:rPr>
          <w:rFonts w:hint="eastAsia" w:ascii="方正仿宋_GBK" w:hAnsi="方正仿宋_GBK" w:eastAsia="方正仿宋_GBK" w:cs="方正仿宋_GBK"/>
          <w:b w:val="0"/>
          <w:bCs/>
          <w:color w:val="auto"/>
          <w:sz w:val="32"/>
          <w:szCs w:val="32"/>
          <w:lang w:val="en-US" w:eastAsia="zh-CN"/>
        </w:rPr>
        <w:t>方式促升级，深化商贸流通领域改革，推动体制机制创新，转变流通发展方式，</w:t>
      </w:r>
      <w:r>
        <w:rPr>
          <w:rFonts w:hint="eastAsia" w:ascii="方正仿宋_GBK" w:hAnsi="方正仿宋_GBK" w:eastAsia="方正仿宋_GBK" w:cs="方正仿宋_GBK"/>
          <w:b w:val="0"/>
          <w:bCs/>
          <w:sz w:val="32"/>
          <w:szCs w:val="32"/>
          <w:lang w:val="en-US" w:eastAsia="zh-CN"/>
        </w:rPr>
        <w:t>基本形成统一开放、竞争有序、畅通高效、城乡一体、便民惠民的商贸流通体系，以商贸流通现代化带动消费升级和产业升级，使商贸流通成为新平县经济转型发展的新引擎、优化资源配置的新动力、促进创新创业的新活力。</w:t>
      </w:r>
    </w:p>
    <w:p>
      <w:pPr>
        <w:pStyle w:val="3"/>
        <w:keepNext/>
        <w:keepLines/>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outlineLvl w:val="1"/>
        <w:rPr>
          <w:rFonts w:hint="eastAsia" w:ascii="方正黑体_GBK" w:hAnsi="方正黑体_GBK" w:eastAsia="方正黑体_GBK" w:cs="方正黑体_GBK"/>
          <w:b w:val="0"/>
          <w:bCs/>
          <w:sz w:val="32"/>
          <w:szCs w:val="52"/>
          <w:lang w:val="en-US" w:eastAsia="zh-CN"/>
        </w:rPr>
      </w:pPr>
      <w:bookmarkStart w:id="7" w:name="_Toc18325"/>
      <w:bookmarkStart w:id="8" w:name="_Toc32333"/>
      <w:r>
        <w:rPr>
          <w:rFonts w:hint="eastAsia" w:ascii="方正黑体_GBK" w:hAnsi="方正黑体_GBK" w:eastAsia="方正黑体_GBK" w:cs="方正黑体_GBK"/>
          <w:b w:val="0"/>
          <w:bCs/>
          <w:sz w:val="32"/>
          <w:szCs w:val="52"/>
          <w:lang w:val="en-US" w:eastAsia="zh-CN"/>
        </w:rPr>
        <w:t>四、建设内容</w:t>
      </w:r>
      <w:bookmarkEnd w:id="7"/>
      <w:bookmarkEnd w:id="8"/>
    </w:p>
    <w:p>
      <w:pPr>
        <w:pStyle w:val="19"/>
        <w:keepNext w:val="0"/>
        <w:keepLines w:val="0"/>
        <w:pageBreakBefore w:val="0"/>
        <w:widowControl w:val="0"/>
        <w:numPr>
          <w:ilvl w:val="0"/>
          <w:numId w:val="0"/>
        </w:numPr>
        <w:kinsoku/>
        <w:wordWrap/>
        <w:overflowPunct/>
        <w:topLinePunct w:val="0"/>
        <w:autoSpaceDE/>
        <w:autoSpaceDN/>
        <w:bidi w:val="0"/>
        <w:adjustRightInd/>
        <w:spacing w:beforeAutospacing="0" w:afterAutospacing="0" w:line="590" w:lineRule="exact"/>
        <w:ind w:right="0" w:rightChars="0" w:firstLine="640" w:firstLineChars="200"/>
        <w:jc w:val="both"/>
        <w:textAlignment w:val="auto"/>
        <w:rPr>
          <w:rFonts w:hint="eastAsia" w:ascii="方正楷体_GBK" w:hAnsi="方正楷体_GBK" w:eastAsia="方正楷体_GBK" w:cs="方正楷体_GBK"/>
          <w:b w:val="0"/>
          <w:bCs/>
          <w:color w:val="auto"/>
          <w:sz w:val="32"/>
          <w:szCs w:val="32"/>
          <w:lang w:val="en-US" w:eastAsia="zh-CN"/>
        </w:rPr>
      </w:pPr>
      <w:r>
        <w:rPr>
          <w:rFonts w:hint="eastAsia" w:ascii="方正楷体_GBK" w:hAnsi="方正楷体_GBK" w:eastAsia="方正楷体_GBK" w:cs="方正楷体_GBK"/>
          <w:b w:val="0"/>
          <w:bCs/>
          <w:color w:val="auto"/>
          <w:sz w:val="32"/>
          <w:szCs w:val="32"/>
          <w:lang w:val="en-US" w:eastAsia="zh-CN"/>
        </w:rPr>
        <w:t>（一）加快农村电子商务布局，推进农村市场现代化。</w:t>
      </w:r>
    </w:p>
    <w:p>
      <w:pPr>
        <w:pStyle w:val="19"/>
        <w:keepNext w:val="0"/>
        <w:keepLines w:val="0"/>
        <w:pageBreakBefore w:val="0"/>
        <w:widowControl w:val="0"/>
        <w:numPr>
          <w:ilvl w:val="0"/>
          <w:numId w:val="0"/>
        </w:numPr>
        <w:kinsoku/>
        <w:wordWrap/>
        <w:overflowPunct/>
        <w:topLinePunct w:val="0"/>
        <w:autoSpaceDE/>
        <w:autoSpaceDN/>
        <w:bidi w:val="0"/>
        <w:adjustRightInd/>
        <w:spacing w:beforeAutospacing="0" w:afterAutospacing="0" w:line="590" w:lineRule="exact"/>
        <w:ind w:right="0" w:rightChars="0" w:firstLine="640" w:firstLineChars="200"/>
        <w:jc w:val="both"/>
        <w:textAlignment w:val="auto"/>
        <w:rPr>
          <w:rFonts w:hint="default" w:ascii="方正仿宋_GBK" w:hAnsi="方正仿宋_GBK" w:eastAsia="方正仿宋_GBK" w:cs="方正仿宋_GBK"/>
          <w:b w:val="0"/>
          <w:bCs/>
          <w:color w:val="auto"/>
          <w:sz w:val="32"/>
          <w:szCs w:val="32"/>
          <w:lang w:val="en-US" w:eastAsia="zh-CN"/>
        </w:rPr>
      </w:pPr>
      <w:r>
        <w:rPr>
          <w:rFonts w:hint="default" w:ascii="Times New Roman" w:hAnsi="Times New Roman" w:eastAsia="方正仿宋_GBK" w:cs="Times New Roman"/>
          <w:b w:val="0"/>
          <w:bCs/>
          <w:color w:val="auto"/>
          <w:sz w:val="32"/>
          <w:szCs w:val="32"/>
          <w:lang w:val="en-US" w:eastAsia="zh-CN"/>
        </w:rPr>
        <w:t>推进电子商务进农村综合示范，培育和壮大一批有影响力的农村电商企业。充分利用“万村千乡市场工程”打造农村现代流通网络，整合物流站点、邮政快递网点、供销合作社、社区网点、农超市场等资源，在乡村基层设立配送终端体系，探索订单式020电子商务配送服务，畅通日用消费品下乡进村的流通渠道。</w:t>
      </w:r>
    </w:p>
    <w:p>
      <w:pPr>
        <w:pStyle w:val="4"/>
        <w:keepNext/>
        <w:keepLines/>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outlineLvl w:val="2"/>
        <w:rPr>
          <w:rFonts w:hint="eastAsia" w:ascii="方正楷体_GBK" w:hAnsi="方正楷体_GBK" w:eastAsia="方正楷体_GBK" w:cs="方正楷体_GBK"/>
          <w:b w:val="0"/>
          <w:bCs w:val="0"/>
          <w:sz w:val="32"/>
          <w:szCs w:val="40"/>
          <w:lang w:val="en-US" w:eastAsia="zh-CN"/>
        </w:rPr>
      </w:pPr>
      <w:bookmarkStart w:id="9" w:name="_Toc17313"/>
      <w:bookmarkStart w:id="10" w:name="_Toc31430"/>
      <w:r>
        <w:rPr>
          <w:rFonts w:hint="eastAsia" w:ascii="方正楷体_GBK" w:hAnsi="方正楷体_GBK" w:eastAsia="方正楷体_GBK" w:cs="方正楷体_GBK"/>
          <w:b w:val="0"/>
          <w:bCs w:val="0"/>
          <w:sz w:val="32"/>
          <w:szCs w:val="40"/>
          <w:lang w:val="en-US" w:eastAsia="zh-CN"/>
        </w:rPr>
        <w:t>（二）建设信息化管理系统</w:t>
      </w:r>
      <w:bookmarkEnd w:id="9"/>
      <w:bookmarkEnd w:id="10"/>
    </w:p>
    <w:p>
      <w:pPr>
        <w:pStyle w:val="19"/>
        <w:keepNext w:val="0"/>
        <w:keepLines w:val="0"/>
        <w:pageBreakBefore w:val="0"/>
        <w:widowControl w:val="0"/>
        <w:kinsoku/>
        <w:wordWrap/>
        <w:overflowPunct/>
        <w:topLinePunct w:val="0"/>
        <w:autoSpaceDE/>
        <w:autoSpaceDN/>
        <w:bidi w:val="0"/>
        <w:adjustRightInd/>
        <w:snapToGrid w:val="0"/>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建设1套农村工业消费品订货系统，推动数字乡村建设，提升农村商贸流通数字化、信息化、智能化应用程度。针对农村传统商贸流通企业、连锁超市、零售点等可入驻进行统一管理，收集有关交易数据，零售商家以及供应商通过该系统可进行工业品供需对接，订单商品可由县级电子商务物流公共仓储配送中心进行统一供应配送，减少中间流通环节，降低工业品下行流通成本，规范农村消费品市场秩序，实现农村商贸流通数字化、信息化升级，构建农村信息流、商流、物流、资金流的闭环生态。</w:t>
      </w:r>
    </w:p>
    <w:p>
      <w:pPr>
        <w:pStyle w:val="19"/>
        <w:keepNext w:val="0"/>
        <w:keepLines w:val="0"/>
        <w:pageBreakBefore w:val="0"/>
        <w:widowControl w:val="0"/>
        <w:kinsoku/>
        <w:wordWrap/>
        <w:overflowPunct/>
        <w:topLinePunct w:val="0"/>
        <w:autoSpaceDE/>
        <w:autoSpaceDN/>
        <w:bidi w:val="0"/>
        <w:adjustRightInd/>
        <w:snapToGrid w:val="0"/>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eastAsia="zh-CN"/>
        </w:rPr>
      </w:pPr>
      <w:r>
        <w:rPr>
          <w:rFonts w:hint="default" w:ascii="Times New Roman" w:hAnsi="Times New Roman" w:eastAsia="方正仿宋_GBK" w:cs="Times New Roman"/>
          <w:b w:val="0"/>
          <w:bCs/>
          <w:sz w:val="32"/>
          <w:szCs w:val="32"/>
          <w:lang w:eastAsia="zh-CN"/>
        </w:rPr>
        <w:t>建设1套服务于全县工业品下行的进销存管理系统，以数据驱动为导向，采集农村消费数据。通过进销存系统使用，进一步提升商贸流通、农村物流、工业品下行、服务站点的业务联动效应。</w:t>
      </w:r>
    </w:p>
    <w:p>
      <w:pPr>
        <w:pStyle w:val="4"/>
        <w:keepNext/>
        <w:keepLines/>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outlineLvl w:val="2"/>
        <w:rPr>
          <w:rFonts w:hint="eastAsia" w:ascii="方正楷体_GBK" w:hAnsi="方正楷体_GBK" w:eastAsia="方正楷体_GBK" w:cs="方正楷体_GBK"/>
          <w:b w:val="0"/>
          <w:bCs w:val="0"/>
          <w:sz w:val="32"/>
          <w:szCs w:val="40"/>
          <w:lang w:val="en-US" w:eastAsia="zh-CN"/>
        </w:rPr>
      </w:pPr>
      <w:bookmarkStart w:id="11" w:name="_Toc11013"/>
      <w:bookmarkStart w:id="12" w:name="_Toc28798"/>
      <w:r>
        <w:rPr>
          <w:rFonts w:hint="eastAsia" w:ascii="方正楷体_GBK" w:hAnsi="方正楷体_GBK" w:eastAsia="方正楷体_GBK" w:cs="方正楷体_GBK"/>
          <w:b w:val="0"/>
          <w:bCs w:val="0"/>
          <w:sz w:val="32"/>
          <w:szCs w:val="40"/>
          <w:lang w:val="en-US" w:eastAsia="zh-CN"/>
        </w:rPr>
        <w:t>（三）提升农村商贸流通数字化水平</w:t>
      </w:r>
      <w:bookmarkEnd w:id="11"/>
      <w:bookmarkEnd w:id="12"/>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eastAsia" w:ascii="方正仿宋_GBK" w:hAnsi="方正仿宋_GBK" w:eastAsia="方正仿宋_GBK" w:cs="方正仿宋_GBK"/>
          <w:b w:val="0"/>
          <w:bCs/>
          <w:sz w:val="32"/>
          <w:szCs w:val="32"/>
          <w:lang w:val="en-US" w:eastAsia="zh-CN"/>
        </w:rPr>
      </w:pPr>
      <w:r>
        <w:rPr>
          <w:rFonts w:hint="eastAsia" w:ascii="方正仿宋_GBK" w:hAnsi="方正仿宋_GBK" w:eastAsia="方正仿宋_GBK" w:cs="方正仿宋_GBK"/>
          <w:b w:val="0"/>
          <w:bCs/>
          <w:sz w:val="32"/>
          <w:szCs w:val="32"/>
          <w:lang w:val="en-US" w:eastAsia="zh-CN"/>
        </w:rPr>
        <w:t>深挖农村市场消费需求，通过工业消费品管理系统的应用，依托乡村电商服务站和县、乡、村三级物流配送体系，逐步实现集中采购、统一配送、直供直销的数字化农村商贸流通模式创新发展，全面推动农村商贸流通企业转型升级，提升农村流通水平，更好的满足农村居民生活和消费需求，进而打造适应本地消费需求的现代流通服务体系。</w:t>
      </w:r>
    </w:p>
    <w:p>
      <w:pPr>
        <w:pStyle w:val="3"/>
        <w:keepNext/>
        <w:keepLines/>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outlineLvl w:val="1"/>
        <w:rPr>
          <w:rFonts w:hint="eastAsia" w:ascii="方正黑体_GBK" w:hAnsi="方正黑体_GBK" w:eastAsia="方正黑体_GBK" w:cs="方正黑体_GBK"/>
          <w:b w:val="0"/>
          <w:bCs/>
          <w:sz w:val="32"/>
          <w:szCs w:val="52"/>
          <w:lang w:val="en-US" w:eastAsia="zh-CN"/>
        </w:rPr>
      </w:pPr>
      <w:bookmarkStart w:id="13" w:name="_Toc30881"/>
      <w:bookmarkStart w:id="14" w:name="_Toc9949"/>
      <w:r>
        <w:rPr>
          <w:rFonts w:hint="eastAsia" w:ascii="方正黑体_GBK" w:hAnsi="方正黑体_GBK" w:eastAsia="方正黑体_GBK" w:cs="方正黑体_GBK"/>
          <w:b w:val="0"/>
          <w:bCs/>
          <w:sz w:val="32"/>
          <w:szCs w:val="52"/>
          <w:lang w:val="en-US" w:eastAsia="zh-CN"/>
        </w:rPr>
        <w:t>五、主要任务</w:t>
      </w:r>
      <w:bookmarkEnd w:id="13"/>
      <w:bookmarkEnd w:id="14"/>
    </w:p>
    <w:p>
      <w:pPr>
        <w:pStyle w:val="4"/>
        <w:keepNext/>
        <w:keepLines/>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outlineLvl w:val="2"/>
        <w:rPr>
          <w:rFonts w:hint="eastAsia" w:ascii="方正楷体_GBK" w:hAnsi="方正楷体_GBK" w:eastAsia="方正楷体_GBK" w:cs="方正楷体_GBK"/>
          <w:b w:val="0"/>
          <w:bCs w:val="0"/>
          <w:sz w:val="32"/>
          <w:szCs w:val="40"/>
          <w:lang w:val="en-US" w:eastAsia="zh-CN"/>
        </w:rPr>
      </w:pPr>
      <w:bookmarkStart w:id="15" w:name="_Toc32042"/>
      <w:bookmarkStart w:id="16" w:name="_Toc14431"/>
      <w:r>
        <w:rPr>
          <w:rFonts w:hint="eastAsia" w:ascii="方正楷体_GBK" w:hAnsi="方正楷体_GBK" w:eastAsia="方正楷体_GBK" w:cs="方正楷体_GBK"/>
          <w:b w:val="0"/>
          <w:bCs w:val="0"/>
          <w:sz w:val="32"/>
          <w:szCs w:val="40"/>
          <w:lang w:val="en-US" w:eastAsia="zh-CN"/>
        </w:rPr>
        <w:t>（一）强化培训，转变思维</w:t>
      </w:r>
      <w:bookmarkEnd w:id="15"/>
      <w:bookmarkEnd w:id="16"/>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eastAsia" w:ascii="方正仿宋_GBK" w:hAnsi="方正仿宋_GBK" w:eastAsia="方正仿宋_GBK" w:cs="方正仿宋_GBK"/>
          <w:b/>
          <w:bCs/>
          <w:color w:val="000000" w:themeColor="text1"/>
          <w:sz w:val="32"/>
          <w:szCs w:val="32"/>
          <w:shd w:val="clear" w:color="auto" w:fill="FFFFFF"/>
          <w:lang w:val="en-US" w:eastAsia="zh-CN"/>
          <w14:textFill>
            <w14:solidFill>
              <w14:schemeClr w14:val="tx1"/>
            </w14:solidFill>
          </w14:textFill>
        </w:rPr>
      </w:pPr>
      <w:r>
        <w:rPr>
          <w:rFonts w:hint="eastAsia" w:ascii="方正仿宋_GBK" w:hAnsi="方正仿宋_GBK" w:eastAsia="方正仿宋_GBK" w:cs="方正仿宋_GBK"/>
          <w:b w:val="0"/>
          <w:bCs/>
          <w:sz w:val="32"/>
          <w:szCs w:val="32"/>
          <w:lang w:val="en-US" w:eastAsia="zh-CN"/>
        </w:rPr>
        <w:t>专门针对传统商贸流通企业开设电商思维转变课程，通过培训，增强传统企业的电商意识，推动传统商贸流通企业利用互联网服务质量和水平的提升，加快传统企业转型升级。同时为传统企业注入新型电商人才，充实传统企业的电商技术力量。</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right="0" w:rightChars="0"/>
        <w:jc w:val="center"/>
        <w:textAlignment w:val="auto"/>
        <w:rPr>
          <w:rFonts w:hint="eastAsia" w:ascii="方正黑体_GBK" w:hAnsi="方正黑体_GBK" w:eastAsia="方正黑体_GBK" w:cs="方正黑体_GBK"/>
          <w:b w:val="0"/>
          <w:bCs w:val="0"/>
          <w:color w:val="000000" w:themeColor="text1"/>
          <w:sz w:val="32"/>
          <w:szCs w:val="32"/>
          <w:shd w:val="clear" w:color="auto" w:fill="FFFFFF"/>
          <w:lang w:val="en-US" w:eastAsia="zh-CN"/>
          <w14:textFill>
            <w14:solidFill>
              <w14:schemeClr w14:val="tx1"/>
            </w14:solidFill>
          </w14:textFill>
        </w:rPr>
      </w:pPr>
      <w:r>
        <w:rPr>
          <w:rFonts w:hint="eastAsia" w:ascii="方正黑体_GBK" w:hAnsi="方正黑体_GBK" w:eastAsia="方正黑体_GBK" w:cs="方正黑体_GBK"/>
          <w:b w:val="0"/>
          <w:bCs w:val="0"/>
          <w:color w:val="000000" w:themeColor="text1"/>
          <w:sz w:val="32"/>
          <w:szCs w:val="32"/>
          <w:shd w:val="clear" w:color="auto" w:fill="FFFFFF"/>
          <w:lang w:val="en-US" w:eastAsia="zh-CN"/>
          <w14:textFill>
            <w14:solidFill>
              <w14:schemeClr w14:val="tx1"/>
            </w14:solidFill>
          </w14:textFill>
        </w:rPr>
        <w:t>课程设计（试行）</w:t>
      </w:r>
    </w:p>
    <w:tbl>
      <w:tblPr>
        <w:tblStyle w:val="17"/>
        <w:tblW w:w="8229"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5850"/>
        <w:gridCol w:w="1377"/>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序号</w:t>
            </w:r>
          </w:p>
        </w:tc>
        <w:tc>
          <w:tcPr>
            <w:tcW w:w="5850"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课程名称</w:t>
            </w:r>
          </w:p>
        </w:tc>
        <w:tc>
          <w:tcPr>
            <w:tcW w:w="1377"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课时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1</w:t>
            </w:r>
          </w:p>
        </w:tc>
        <w:tc>
          <w:tcPr>
            <w:tcW w:w="5850"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《突破县域经济发展瓶颈》</w:t>
            </w:r>
          </w:p>
        </w:tc>
        <w:tc>
          <w:tcPr>
            <w:tcW w:w="1377"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2课时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w:t>
            </w:r>
          </w:p>
        </w:tc>
        <w:tc>
          <w:tcPr>
            <w:tcW w:w="5850"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《从现代农业到线上新农》</w:t>
            </w:r>
          </w:p>
        </w:tc>
        <w:tc>
          <w:tcPr>
            <w:tcW w:w="1377"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2课时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3</w:t>
            </w:r>
          </w:p>
        </w:tc>
        <w:tc>
          <w:tcPr>
            <w:tcW w:w="5850" w:type="dxa"/>
            <w:tcBorders>
              <w:tl2br w:val="nil"/>
              <w:tr2bl w:val="nil"/>
            </w:tcBorders>
            <w:shd w:val="clear" w:color="auto" w:fill="auto"/>
            <w:noWrap w:val="0"/>
            <w:vAlign w:val="center"/>
          </w:tcPr>
          <w:p>
            <w:pPr>
              <w:pStyle w:val="20"/>
              <w:pageBreakBefore w:val="0"/>
              <w:kinsoku/>
              <w:overflowPunct/>
              <w:topLinePunct w:val="0"/>
              <w:bidi w:val="0"/>
              <w:spacing w:beforeAutospacing="0" w:afterAutospacing="0" w:line="240" w:lineRule="auto"/>
              <w:ind w:left="0" w:leftChars="0" w:right="0" w:rightChars="0" w:firstLine="0" w:firstLineChars="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《电子商务产业对传统产业格局的改变》</w:t>
            </w:r>
          </w:p>
        </w:tc>
        <w:tc>
          <w:tcPr>
            <w:tcW w:w="1377"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2课时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4</w:t>
            </w:r>
          </w:p>
        </w:tc>
        <w:tc>
          <w:tcPr>
            <w:tcW w:w="5850"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《农产品创意挖掘》</w:t>
            </w:r>
          </w:p>
        </w:tc>
        <w:tc>
          <w:tcPr>
            <w:tcW w:w="1377"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2课时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5</w:t>
            </w:r>
          </w:p>
        </w:tc>
        <w:tc>
          <w:tcPr>
            <w:tcW w:w="5850"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《奔跑吧，县域电商》</w:t>
            </w:r>
          </w:p>
        </w:tc>
        <w:tc>
          <w:tcPr>
            <w:tcW w:w="1377"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2课时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6</w:t>
            </w:r>
          </w:p>
        </w:tc>
        <w:tc>
          <w:tcPr>
            <w:tcW w:w="5850"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《互联网思维》</w:t>
            </w:r>
          </w:p>
        </w:tc>
        <w:tc>
          <w:tcPr>
            <w:tcW w:w="1377"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2课时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7</w:t>
            </w:r>
          </w:p>
        </w:tc>
        <w:tc>
          <w:tcPr>
            <w:tcW w:w="5850"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《仓储与物流》</w:t>
            </w:r>
          </w:p>
        </w:tc>
        <w:tc>
          <w:tcPr>
            <w:tcW w:w="1377"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2课时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8</w:t>
            </w:r>
          </w:p>
        </w:tc>
        <w:tc>
          <w:tcPr>
            <w:tcW w:w="5850"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《县域与电商服务商关系剖析》</w:t>
            </w:r>
          </w:p>
        </w:tc>
        <w:tc>
          <w:tcPr>
            <w:tcW w:w="1377"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2课时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9</w:t>
            </w:r>
          </w:p>
        </w:tc>
        <w:tc>
          <w:tcPr>
            <w:tcW w:w="5850"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《农产品研发标准》</w:t>
            </w:r>
          </w:p>
        </w:tc>
        <w:tc>
          <w:tcPr>
            <w:tcW w:w="1377"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2课时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10</w:t>
            </w:r>
          </w:p>
        </w:tc>
        <w:tc>
          <w:tcPr>
            <w:tcW w:w="5850"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《互联网思维+县域》</w:t>
            </w:r>
          </w:p>
        </w:tc>
        <w:tc>
          <w:tcPr>
            <w:tcW w:w="1377"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2课时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11</w:t>
            </w:r>
          </w:p>
        </w:tc>
        <w:tc>
          <w:tcPr>
            <w:tcW w:w="5850"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《农产品品牌培育与构建》</w:t>
            </w:r>
          </w:p>
        </w:tc>
        <w:tc>
          <w:tcPr>
            <w:tcW w:w="1377"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2课时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12</w:t>
            </w:r>
          </w:p>
        </w:tc>
        <w:tc>
          <w:tcPr>
            <w:tcW w:w="5850"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《农产品电商的春天》</w:t>
            </w:r>
          </w:p>
        </w:tc>
        <w:tc>
          <w:tcPr>
            <w:tcW w:w="1377"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2课时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13</w:t>
            </w:r>
          </w:p>
        </w:tc>
        <w:tc>
          <w:tcPr>
            <w:tcW w:w="5850"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《县域电商+旅游版块开发》</w:t>
            </w:r>
          </w:p>
        </w:tc>
        <w:tc>
          <w:tcPr>
            <w:tcW w:w="1377"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2课时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14</w:t>
            </w:r>
          </w:p>
        </w:tc>
        <w:tc>
          <w:tcPr>
            <w:tcW w:w="5850"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《电商环境下旅游产业运营》</w:t>
            </w:r>
          </w:p>
        </w:tc>
        <w:tc>
          <w:tcPr>
            <w:tcW w:w="1377"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2课时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15</w:t>
            </w:r>
          </w:p>
        </w:tc>
        <w:tc>
          <w:tcPr>
            <w:tcW w:w="5850"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《十大电商模式带给我们的若干思考》</w:t>
            </w:r>
          </w:p>
        </w:tc>
        <w:tc>
          <w:tcPr>
            <w:tcW w:w="1377"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2课时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16</w:t>
            </w:r>
          </w:p>
        </w:tc>
        <w:tc>
          <w:tcPr>
            <w:tcW w:w="5850" w:type="dxa"/>
            <w:tcBorders>
              <w:tl2br w:val="nil"/>
              <w:tr2bl w:val="nil"/>
            </w:tcBorders>
            <w:shd w:val="clear" w:color="auto" w:fill="auto"/>
            <w:noWrap w:val="0"/>
            <w:vAlign w:val="center"/>
          </w:tcPr>
          <w:p>
            <w:pPr>
              <w:pStyle w:val="20"/>
              <w:pageBreakBefore w:val="0"/>
              <w:kinsoku/>
              <w:overflowPunct/>
              <w:topLinePunct w:val="0"/>
              <w:bidi w:val="0"/>
              <w:spacing w:beforeAutospacing="0" w:afterAutospacing="0" w:line="240" w:lineRule="auto"/>
              <w:ind w:left="0" w:leftChars="0" w:right="0" w:rightChars="0" w:firstLine="0" w:firstLineChars="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Hans" w:bidi="ar-SA"/>
              </w:rPr>
              <w:t>《</w:t>
            </w:r>
            <w:r>
              <w:rPr>
                <w:rFonts w:hint="eastAsia" w:ascii="仿宋" w:hAnsi="仿宋" w:eastAsia="仿宋" w:cs="仿宋"/>
                <w:kern w:val="2"/>
                <w:sz w:val="32"/>
                <w:szCs w:val="32"/>
                <w:lang w:val="en-US" w:eastAsia="zh-CN" w:bidi="ar-SA"/>
              </w:rPr>
              <w:t>电子商务给农村发展带来的商机</w:t>
            </w:r>
            <w:r>
              <w:rPr>
                <w:rFonts w:hint="eastAsia" w:ascii="仿宋" w:hAnsi="仿宋" w:eastAsia="仿宋" w:cs="仿宋"/>
                <w:kern w:val="2"/>
                <w:sz w:val="32"/>
                <w:szCs w:val="32"/>
                <w:lang w:val="en-US" w:eastAsia="zh-Hans" w:bidi="ar-SA"/>
              </w:rPr>
              <w:t>》</w:t>
            </w:r>
          </w:p>
        </w:tc>
        <w:tc>
          <w:tcPr>
            <w:tcW w:w="1377"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2课时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17</w:t>
            </w:r>
          </w:p>
        </w:tc>
        <w:tc>
          <w:tcPr>
            <w:tcW w:w="5850" w:type="dxa"/>
            <w:tcBorders>
              <w:tl2br w:val="nil"/>
              <w:tr2bl w:val="nil"/>
            </w:tcBorders>
            <w:shd w:val="clear" w:color="auto" w:fill="auto"/>
            <w:noWrap w:val="0"/>
            <w:vAlign w:val="center"/>
          </w:tcPr>
          <w:p>
            <w:pPr>
              <w:pStyle w:val="20"/>
              <w:pageBreakBefore w:val="0"/>
              <w:kinsoku/>
              <w:overflowPunct/>
              <w:topLinePunct w:val="0"/>
              <w:bidi w:val="0"/>
              <w:spacing w:beforeAutospacing="0" w:afterAutospacing="0" w:line="240" w:lineRule="auto"/>
              <w:ind w:left="0" w:leftChars="0" w:right="0" w:rightChars="0" w:firstLine="0" w:firstLineChars="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Hans" w:bidi="ar-SA"/>
              </w:rPr>
              <w:t>《</w:t>
            </w:r>
            <w:r>
              <w:rPr>
                <w:rFonts w:hint="eastAsia" w:ascii="仿宋" w:hAnsi="仿宋" w:eastAsia="仿宋" w:cs="仿宋"/>
                <w:kern w:val="2"/>
                <w:sz w:val="32"/>
                <w:szCs w:val="32"/>
                <w:lang w:val="en-US" w:eastAsia="zh-CN" w:bidi="ar-SA"/>
              </w:rPr>
              <w:t>农产品如何真正走上电商创业路</w:t>
            </w:r>
            <w:r>
              <w:rPr>
                <w:rFonts w:hint="eastAsia" w:ascii="仿宋" w:hAnsi="仿宋" w:eastAsia="仿宋" w:cs="仿宋"/>
                <w:kern w:val="2"/>
                <w:sz w:val="32"/>
                <w:szCs w:val="32"/>
                <w:lang w:val="en-US" w:eastAsia="zh-Hans" w:bidi="ar-SA"/>
              </w:rPr>
              <w:t>》</w:t>
            </w:r>
          </w:p>
        </w:tc>
        <w:tc>
          <w:tcPr>
            <w:tcW w:w="1377"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2课时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18</w:t>
            </w:r>
          </w:p>
        </w:tc>
        <w:tc>
          <w:tcPr>
            <w:tcW w:w="5850"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Hans" w:bidi="ar-SA"/>
              </w:rPr>
              <w:t>《</w:t>
            </w:r>
            <w:r>
              <w:rPr>
                <w:rFonts w:hint="eastAsia" w:ascii="仿宋" w:hAnsi="仿宋" w:eastAsia="仿宋" w:cs="仿宋"/>
                <w:kern w:val="2"/>
                <w:sz w:val="32"/>
                <w:szCs w:val="32"/>
                <w:lang w:val="en-US" w:eastAsia="zh-CN" w:bidi="ar-SA"/>
              </w:rPr>
              <w:t>农村电商发展之路</w:t>
            </w:r>
            <w:r>
              <w:rPr>
                <w:rFonts w:hint="eastAsia" w:ascii="仿宋" w:hAnsi="仿宋" w:eastAsia="仿宋" w:cs="仿宋"/>
                <w:kern w:val="2"/>
                <w:sz w:val="32"/>
                <w:szCs w:val="32"/>
                <w:lang w:val="en-US" w:eastAsia="zh-Hans" w:bidi="ar-SA"/>
              </w:rPr>
              <w:t>》</w:t>
            </w:r>
          </w:p>
        </w:tc>
        <w:tc>
          <w:tcPr>
            <w:tcW w:w="1377"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2课时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19</w:t>
            </w:r>
          </w:p>
        </w:tc>
        <w:tc>
          <w:tcPr>
            <w:tcW w:w="5850"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Hans" w:bidi="ar-SA"/>
              </w:rPr>
              <w:t>《</w:t>
            </w:r>
            <w:r>
              <w:rPr>
                <w:rFonts w:hint="eastAsia" w:ascii="仿宋" w:hAnsi="仿宋" w:eastAsia="仿宋" w:cs="仿宋"/>
                <w:kern w:val="2"/>
                <w:sz w:val="32"/>
                <w:szCs w:val="32"/>
                <w:lang w:val="en-US" w:eastAsia="zh-CN" w:bidi="ar-SA"/>
              </w:rPr>
              <w:t>农村电商人才培育</w:t>
            </w:r>
            <w:r>
              <w:rPr>
                <w:rFonts w:hint="eastAsia" w:ascii="仿宋" w:hAnsi="仿宋" w:eastAsia="仿宋" w:cs="仿宋"/>
                <w:kern w:val="2"/>
                <w:sz w:val="32"/>
                <w:szCs w:val="32"/>
                <w:lang w:val="en-US" w:eastAsia="zh-Hans" w:bidi="ar-SA"/>
              </w:rPr>
              <w:t>》</w:t>
            </w:r>
          </w:p>
        </w:tc>
        <w:tc>
          <w:tcPr>
            <w:tcW w:w="1377"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2课时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20</w:t>
            </w:r>
          </w:p>
        </w:tc>
        <w:tc>
          <w:tcPr>
            <w:tcW w:w="5850"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Hans" w:bidi="ar-SA"/>
              </w:rPr>
              <w:t>《</w:t>
            </w:r>
            <w:r>
              <w:rPr>
                <w:rFonts w:hint="eastAsia" w:ascii="仿宋" w:hAnsi="仿宋" w:eastAsia="仿宋" w:cs="仿宋"/>
                <w:kern w:val="2"/>
                <w:sz w:val="32"/>
                <w:szCs w:val="32"/>
                <w:lang w:val="en-US" w:eastAsia="zh-CN" w:bidi="ar-SA"/>
              </w:rPr>
              <w:t>农村电商体系</w:t>
            </w:r>
            <w:r>
              <w:rPr>
                <w:rFonts w:hint="eastAsia" w:ascii="仿宋" w:hAnsi="仿宋" w:eastAsia="仿宋" w:cs="仿宋"/>
                <w:kern w:val="2"/>
                <w:sz w:val="32"/>
                <w:szCs w:val="32"/>
                <w:lang w:val="en-US" w:eastAsia="zh-Hans" w:bidi="ar-SA"/>
              </w:rPr>
              <w:t>解析》</w:t>
            </w:r>
          </w:p>
        </w:tc>
        <w:tc>
          <w:tcPr>
            <w:tcW w:w="1377"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2课时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21</w:t>
            </w:r>
          </w:p>
        </w:tc>
        <w:tc>
          <w:tcPr>
            <w:tcW w:w="5850" w:type="dxa"/>
            <w:tcBorders>
              <w:tl2br w:val="nil"/>
              <w:tr2bl w:val="nil"/>
            </w:tcBorders>
            <w:shd w:val="clear" w:color="auto" w:fill="auto"/>
            <w:noWrap w:val="0"/>
            <w:vAlign w:val="center"/>
          </w:tcPr>
          <w:p>
            <w:pPr>
              <w:pStyle w:val="20"/>
              <w:pageBreakBefore w:val="0"/>
              <w:numPr>
                <w:ilvl w:val="0"/>
                <w:numId w:val="0"/>
              </w:numPr>
              <w:kinsoku/>
              <w:overflowPunct/>
              <w:topLinePunct w:val="0"/>
              <w:bidi w:val="0"/>
              <w:spacing w:beforeAutospacing="0" w:afterAutospacing="0" w:line="240" w:lineRule="auto"/>
              <w:ind w:left="0" w:leftChars="0" w:right="0" w:rightChars="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Hans" w:bidi="ar-SA"/>
              </w:rPr>
              <w:t>《</w:t>
            </w:r>
            <w:r>
              <w:rPr>
                <w:rFonts w:hint="eastAsia" w:ascii="仿宋" w:hAnsi="仿宋" w:eastAsia="仿宋" w:cs="仿宋"/>
                <w:kern w:val="2"/>
                <w:sz w:val="32"/>
                <w:szCs w:val="32"/>
                <w:lang w:val="en-US" w:eastAsia="zh-CN" w:bidi="ar-SA"/>
              </w:rPr>
              <w:t>县域特色产品售卖</w:t>
            </w:r>
            <w:r>
              <w:rPr>
                <w:rFonts w:hint="eastAsia" w:ascii="仿宋" w:hAnsi="仿宋" w:eastAsia="仿宋" w:cs="仿宋"/>
                <w:kern w:val="2"/>
                <w:sz w:val="32"/>
                <w:szCs w:val="32"/>
                <w:lang w:val="en-US" w:eastAsia="zh-Hans" w:bidi="ar-SA"/>
              </w:rPr>
              <w:t>的正确打开方式》</w:t>
            </w:r>
          </w:p>
        </w:tc>
        <w:tc>
          <w:tcPr>
            <w:tcW w:w="1377" w:type="dxa"/>
            <w:tcBorders>
              <w:tl2br w:val="nil"/>
              <w:tr2bl w:val="nil"/>
            </w:tcBorders>
            <w:shd w:val="clear" w:color="auto" w:fill="auto"/>
            <w:noWrap w:val="0"/>
            <w:vAlign w:val="center"/>
          </w:tcPr>
          <w:p>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2课时</w:t>
            </w:r>
          </w:p>
        </w:tc>
      </w:tr>
    </w:tbl>
    <w:p>
      <w:pPr>
        <w:pStyle w:val="4"/>
        <w:keepNext/>
        <w:keepLines/>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outlineLvl w:val="2"/>
        <w:rPr>
          <w:rFonts w:hint="eastAsia" w:ascii="方正楷体_GBK" w:hAnsi="方正楷体_GBK" w:eastAsia="方正楷体_GBK" w:cs="方正楷体_GBK"/>
          <w:b w:val="0"/>
          <w:bCs w:val="0"/>
          <w:sz w:val="32"/>
          <w:szCs w:val="40"/>
          <w:lang w:val="en-US" w:eastAsia="zh-CN"/>
        </w:rPr>
      </w:pPr>
      <w:bookmarkStart w:id="17" w:name="_Toc13414"/>
      <w:bookmarkStart w:id="18" w:name="_Toc16123"/>
      <w:bookmarkStart w:id="19" w:name="_Toc32104"/>
      <w:r>
        <w:rPr>
          <w:rFonts w:hint="eastAsia" w:ascii="方正楷体_GBK" w:hAnsi="方正楷体_GBK" w:eastAsia="方正楷体_GBK" w:cs="方正楷体_GBK"/>
          <w:b w:val="0"/>
          <w:bCs w:val="0"/>
          <w:sz w:val="32"/>
          <w:szCs w:val="40"/>
          <w:lang w:val="en-US" w:eastAsia="zh-CN"/>
        </w:rPr>
        <w:t>（二）搭建农村工业消费品订货系统</w:t>
      </w:r>
      <w:bookmarkEnd w:id="17"/>
      <w:bookmarkEnd w:id="18"/>
      <w:bookmarkEnd w:id="19"/>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由</w:t>
      </w:r>
      <w:r>
        <w:rPr>
          <w:rFonts w:hint="default" w:ascii="Times New Roman" w:hAnsi="Times New Roman" w:eastAsia="方正仿宋_GBK" w:cs="Times New Roman"/>
          <w:b w:val="0"/>
          <w:bCs/>
          <w:sz w:val="32"/>
          <w:szCs w:val="32"/>
          <w:lang w:eastAsia="zh-CN"/>
        </w:rPr>
        <w:t>新平县电子商务</w:t>
      </w:r>
      <w:r>
        <w:rPr>
          <w:rFonts w:hint="default" w:ascii="Times New Roman" w:hAnsi="Times New Roman" w:eastAsia="方正仿宋_GBK" w:cs="Times New Roman"/>
          <w:b w:val="0"/>
          <w:bCs/>
          <w:sz w:val="32"/>
          <w:szCs w:val="32"/>
          <w:lang w:val="en-US" w:eastAsia="zh-CN"/>
        </w:rPr>
        <w:t>服务中心对接优质资源，整合有条件、有能力</w:t>
      </w:r>
      <w:r>
        <w:rPr>
          <w:rFonts w:hint="default" w:ascii="Times New Roman" w:hAnsi="Times New Roman" w:eastAsia="方正仿宋_GBK" w:cs="Times New Roman"/>
          <w:b w:val="0"/>
          <w:bCs/>
          <w:sz w:val="32"/>
          <w:szCs w:val="32"/>
          <w:lang w:eastAsia="zh-CN"/>
        </w:rPr>
        <w:t>的</w:t>
      </w:r>
      <w:r>
        <w:rPr>
          <w:rFonts w:hint="default" w:ascii="Times New Roman" w:hAnsi="Times New Roman" w:eastAsia="方正仿宋_GBK" w:cs="Times New Roman"/>
          <w:b w:val="0"/>
          <w:bCs/>
          <w:sz w:val="32"/>
          <w:szCs w:val="32"/>
          <w:lang w:val="en-US" w:eastAsia="zh-CN"/>
        </w:rPr>
        <w:t>邮政、供销、农村商超等流通商贸企业，构建区域连锁分销体系，先行依托10个乡镇和40个村级电商服务站，搭建统一的线上订货系统，实现全县所有服务站点线上一件订货，通过完善的供应链服务体系、物流仓储服务体系，为分销商提供全流程的供应链配送服务。逐步完善县域商业体系建设，促进农村消费升级。</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default" w:ascii="Times New Roman" w:hAnsi="Times New Roman" w:eastAsia="方正仿宋_GBK" w:cs="Times New Roman"/>
          <w:b w:val="0"/>
          <w:bCs/>
          <w:sz w:val="32"/>
          <w:szCs w:val="32"/>
          <w:lang w:val="en-US" w:eastAsia="zh-CN"/>
        </w:rPr>
      </w:pP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rPr>
          <w:rFonts w:hint="eastAsia" w:ascii="Times New Roman" w:hAnsi="Times New Roman" w:eastAsia="方正仿宋_GBK" w:cs="Times New Roman"/>
          <w:b w:val="0"/>
          <w:bCs/>
          <w:sz w:val="32"/>
          <w:szCs w:val="32"/>
          <w:lang w:val="en-US" w:eastAsia="zh-CN"/>
        </w:rPr>
      </w:pPr>
    </w:p>
    <w:p>
      <w:pPr>
        <w:pStyle w:val="15"/>
        <w:keepNext w:val="0"/>
        <w:keepLines w:val="0"/>
        <w:pageBreakBefore w:val="0"/>
        <w:widowControl w:val="0"/>
        <w:shd w:val="clear" w:fill="C00000"/>
        <w:kinsoku/>
        <w:wordWrap/>
        <w:overflowPunct/>
        <w:topLinePunct w:val="0"/>
        <w:autoSpaceDE/>
        <w:autoSpaceDN/>
        <w:bidi w:val="0"/>
        <w:adjustRightInd/>
        <w:snapToGrid/>
        <w:spacing w:before="0" w:beforeAutospacing="0" w:after="0" w:afterAutospacing="0" w:line="240" w:lineRule="auto"/>
        <w:ind w:left="0" w:leftChars="0" w:right="0" w:rightChars="0" w:firstLine="643" w:firstLineChars="200"/>
        <w:jc w:val="left"/>
        <w:textAlignment w:val="auto"/>
        <w:rPr>
          <w:rFonts w:hint="eastAsia" w:ascii="仿宋" w:hAnsi="仿宋" w:cs="仿宋"/>
          <w:color w:val="000000" w:themeColor="text1"/>
          <w:sz w:val="32"/>
          <w:szCs w:val="32"/>
          <w:shd w:val="clear" w:color="auto" w:fill="FFFFFF"/>
          <w:lang w:val="en-US" w:eastAsia="zh-CN"/>
          <w14:textFill>
            <w14:solidFill>
              <w14:schemeClr w14:val="tx1"/>
            </w14:solidFill>
          </w14:textFill>
        </w:rPr>
      </w:pPr>
      <w:r>
        <w:rPr>
          <w:rFonts w:hint="eastAsia" w:ascii="宋体" w:hAnsi="宋体" w:eastAsia="宋体" w:cs="宋体"/>
          <w:b/>
          <w:bCs/>
          <w:color w:val="FFFFFF" w:themeColor="background1"/>
          <w:sz w:val="32"/>
          <w:szCs w:val="32"/>
          <w:shd w:val="clear" w:color="auto" w:fill="FFFFFF"/>
          <w:lang w:val="en-US" w:eastAsia="zh-CN"/>
          <w14:textFill>
            <w14:solidFill>
              <w14:schemeClr w14:val="bg1"/>
            </w14:solidFill>
          </w14:textFill>
        </w:rPr>
        <w:t>订货管理系统展示（参考示例）</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0" w:firstLineChars="0"/>
        <w:jc w:val="center"/>
        <w:textAlignment w:val="auto"/>
        <w:rPr>
          <w:rFonts w:hint="default" w:ascii="Times New Roman" w:hAnsi="Times New Roman" w:eastAsia="方正黑体_GBK" w:cs="Times New Roman"/>
          <w:b w:val="0"/>
          <w:bCs w:val="0"/>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方正黑体_GBK" w:cs="Times New Roman"/>
          <w:color w:val="000000" w:themeColor="text1"/>
          <w:sz w:val="32"/>
          <w:szCs w:val="32"/>
          <w:shd w:val="clear" w:color="auto" w:fill="FFFFFF"/>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1167130</wp:posOffset>
            </wp:positionH>
            <wp:positionV relativeFrom="paragraph">
              <wp:posOffset>296545</wp:posOffset>
            </wp:positionV>
            <wp:extent cx="3312160" cy="7176770"/>
            <wp:effectExtent l="0" t="0" r="15240" b="11430"/>
            <wp:wrapTopAndBottom/>
            <wp:docPr id="1160" name="图片 11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图片 1160" descr="1"/>
                    <pic:cNvPicPr>
                      <a:picLocks noChangeAspect="1"/>
                    </pic:cNvPicPr>
                  </pic:nvPicPr>
                  <pic:blipFill>
                    <a:blip r:embed="rId5"/>
                    <a:stretch>
                      <a:fillRect/>
                    </a:stretch>
                  </pic:blipFill>
                  <pic:spPr>
                    <a:xfrm>
                      <a:off x="0" y="0"/>
                      <a:ext cx="3312160" cy="7176770"/>
                    </a:xfrm>
                    <a:prstGeom prst="rect">
                      <a:avLst/>
                    </a:prstGeom>
                  </pic:spPr>
                </pic:pic>
              </a:graphicData>
            </a:graphic>
          </wp:anchor>
        </w:drawing>
      </w:r>
      <w:r>
        <w:rPr>
          <w:rFonts w:hint="default" w:ascii="Times New Roman" w:hAnsi="Times New Roman" w:eastAsia="方正黑体_GBK" w:cs="Times New Roman"/>
          <w:b w:val="0"/>
          <w:bCs w:val="0"/>
          <w:color w:val="000000" w:themeColor="text1"/>
          <w:sz w:val="32"/>
          <w:szCs w:val="32"/>
          <w:shd w:val="clear" w:color="auto" w:fill="FFFFFF"/>
          <w:lang w:val="en-US" w:eastAsia="zh-CN"/>
          <w14:textFill>
            <w14:solidFill>
              <w14:schemeClr w14:val="tx1"/>
            </w14:solidFill>
          </w14:textFill>
        </w:rPr>
        <w:t>订货系统APP首页</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cs="仿宋"/>
          <w:color w:val="000000" w:themeColor="text1"/>
          <w:sz w:val="32"/>
          <w:szCs w:val="32"/>
          <w:shd w:val="clear" w:color="auto" w:fill="FFFFFF"/>
          <w:lang w:val="en-US" w:eastAsia="zh-CN"/>
          <w14:textFill>
            <w14:solidFill>
              <w14:schemeClr w14:val="tx1"/>
            </w14:solidFill>
          </w14:textFill>
        </w:rPr>
      </w:pPr>
      <w:r>
        <w:rPr>
          <w:rFonts w:hint="eastAsia" w:ascii="仿宋" w:hAnsi="仿宋" w:cs="仿宋"/>
          <w:color w:val="000000" w:themeColor="text1"/>
          <w:sz w:val="32"/>
          <w:szCs w:val="32"/>
          <w:shd w:val="clear" w:color="auto" w:fill="FFFFFF"/>
          <w:lang w:val="en-US" w:eastAsia="zh-CN"/>
          <w14:textFill>
            <w14:solidFill>
              <w14:schemeClr w14:val="tx1"/>
            </w14:solidFill>
          </w14:textFill>
        </w:rPr>
        <w:drawing>
          <wp:inline distT="0" distB="0" distL="114300" distR="114300">
            <wp:extent cx="4063365" cy="7509510"/>
            <wp:effectExtent l="0" t="0" r="635" b="8890"/>
            <wp:docPr id="1161" name="图片 116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图片 1161" descr="3"/>
                    <pic:cNvPicPr>
                      <a:picLocks noChangeAspect="1"/>
                    </pic:cNvPicPr>
                  </pic:nvPicPr>
                  <pic:blipFill>
                    <a:blip r:embed="rId6"/>
                    <a:stretch>
                      <a:fillRect/>
                    </a:stretch>
                  </pic:blipFill>
                  <pic:spPr>
                    <a:xfrm>
                      <a:off x="0" y="0"/>
                      <a:ext cx="4063365" cy="7509510"/>
                    </a:xfrm>
                    <a:prstGeom prst="rect">
                      <a:avLst/>
                    </a:prstGeom>
                  </pic:spPr>
                </pic:pic>
              </a:graphicData>
            </a:graphic>
          </wp:inline>
        </w:drawing>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000000" w:themeColor="text1"/>
          <w:sz w:val="32"/>
          <w:szCs w:val="32"/>
          <w:shd w:val="clear" w:color="auto" w:fill="FFFFFF"/>
          <w:lang w:val="en-US" w:eastAsia="zh-CN"/>
          <w14:textFill>
            <w14:solidFill>
              <w14:schemeClr w14:val="tx1"/>
            </w14:solidFill>
          </w14:textFill>
        </w:rPr>
      </w:pPr>
      <w:r>
        <w:rPr>
          <w:rFonts w:hint="eastAsia" w:ascii="方正黑体_GBK" w:hAnsi="方正黑体_GBK" w:eastAsia="方正黑体_GBK" w:cs="方正黑体_GBK"/>
          <w:b w:val="0"/>
          <w:bCs w:val="0"/>
          <w:color w:val="000000" w:themeColor="text1"/>
          <w:sz w:val="32"/>
          <w:szCs w:val="32"/>
          <w:shd w:val="clear" w:color="auto" w:fill="FFFFFF"/>
          <w:lang w:val="en-US" w:eastAsia="zh-CN"/>
          <w14:textFill>
            <w14:solidFill>
              <w14:schemeClr w14:val="tx1"/>
            </w14:solidFill>
          </w14:textFill>
        </w:rPr>
        <w:t>我的服务</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cs="仿宋"/>
          <w:color w:val="000000" w:themeColor="text1"/>
          <w:sz w:val="32"/>
          <w:szCs w:val="32"/>
          <w:shd w:val="clear" w:color="auto" w:fill="FFFFFF"/>
          <w:lang w:val="en-US" w:eastAsia="zh-CN"/>
          <w14:textFill>
            <w14:solidFill>
              <w14:schemeClr w14:val="tx1"/>
            </w14:solidFill>
          </w14:textFill>
        </w:rPr>
      </w:pPr>
      <w:r>
        <w:rPr>
          <w:rFonts w:hint="eastAsia" w:ascii="仿宋" w:hAnsi="仿宋" w:cs="仿宋"/>
          <w:color w:val="000000" w:themeColor="text1"/>
          <w:sz w:val="32"/>
          <w:szCs w:val="32"/>
          <w:shd w:val="clear" w:color="auto" w:fill="FFFFFF"/>
          <w:lang w:val="en-US" w:eastAsia="zh-CN"/>
          <w14:textFill>
            <w14:solidFill>
              <w14:schemeClr w14:val="tx1"/>
            </w14:solidFill>
          </w14:textFill>
        </w:rPr>
        <w:drawing>
          <wp:inline distT="0" distB="0" distL="114300" distR="114300">
            <wp:extent cx="3676650" cy="7967345"/>
            <wp:effectExtent l="0" t="0" r="6350" b="8255"/>
            <wp:docPr id="1162" name="图片 116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图片 1162" descr="7"/>
                    <pic:cNvPicPr>
                      <a:picLocks noChangeAspect="1"/>
                    </pic:cNvPicPr>
                  </pic:nvPicPr>
                  <pic:blipFill>
                    <a:blip r:embed="rId7"/>
                    <a:stretch>
                      <a:fillRect/>
                    </a:stretch>
                  </pic:blipFill>
                  <pic:spPr>
                    <a:xfrm>
                      <a:off x="0" y="0"/>
                      <a:ext cx="3676650" cy="7967345"/>
                    </a:xfrm>
                    <a:prstGeom prst="rect">
                      <a:avLst/>
                    </a:prstGeom>
                  </pic:spPr>
                </pic:pic>
              </a:graphicData>
            </a:graphic>
          </wp:inline>
        </w:drawing>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000000" w:themeColor="text1"/>
          <w:sz w:val="32"/>
          <w:szCs w:val="32"/>
          <w:shd w:val="clear" w:color="auto" w:fill="FFFFFF"/>
          <w:lang w:val="en-US" w:eastAsia="zh-CN"/>
          <w14:textFill>
            <w14:solidFill>
              <w14:schemeClr w14:val="tx1"/>
            </w14:solidFill>
          </w14:textFill>
        </w:rPr>
      </w:pPr>
      <w:r>
        <w:rPr>
          <w:rFonts w:hint="eastAsia" w:ascii="方正黑体_GBK" w:hAnsi="方正黑体_GBK" w:eastAsia="方正黑体_GBK" w:cs="方正黑体_GBK"/>
          <w:b w:val="0"/>
          <w:bCs w:val="0"/>
          <w:color w:val="000000" w:themeColor="text1"/>
          <w:sz w:val="32"/>
          <w:szCs w:val="32"/>
          <w:shd w:val="clear" w:color="auto" w:fill="FFFFFF"/>
          <w:lang w:val="en-US" w:eastAsia="zh-CN"/>
          <w14:textFill>
            <w14:solidFill>
              <w14:schemeClr w14:val="tx1"/>
            </w14:solidFill>
          </w14:textFill>
        </w:rPr>
        <w:t>快递物流查询</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cs="仿宋"/>
          <w:color w:val="000000" w:themeColor="text1"/>
          <w:sz w:val="32"/>
          <w:szCs w:val="32"/>
          <w:shd w:val="clear" w:color="auto" w:fill="FFFFFF"/>
          <w:lang w:val="en-US" w:eastAsia="zh-CN"/>
          <w14:textFill>
            <w14:solidFill>
              <w14:schemeClr w14:val="tx1"/>
            </w14:solidFill>
          </w14:textFill>
        </w:rPr>
      </w:pPr>
      <w:r>
        <w:rPr>
          <w:rFonts w:hint="eastAsia" w:ascii="仿宋" w:hAnsi="仿宋" w:cs="仿宋"/>
          <w:color w:val="000000" w:themeColor="text1"/>
          <w:sz w:val="32"/>
          <w:szCs w:val="32"/>
          <w:shd w:val="clear" w:color="auto" w:fill="FFFFFF"/>
          <w:lang w:val="en-US" w:eastAsia="zh-CN"/>
          <w14:textFill>
            <w14:solidFill>
              <w14:schemeClr w14:val="tx1"/>
            </w14:solidFill>
          </w14:textFill>
        </w:rPr>
        <w:drawing>
          <wp:inline distT="0" distB="0" distL="114300" distR="114300">
            <wp:extent cx="3724910" cy="8071485"/>
            <wp:effectExtent l="0" t="0" r="8890" b="5715"/>
            <wp:docPr id="1163" name="图片 116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图片 1163" descr="5"/>
                    <pic:cNvPicPr>
                      <a:picLocks noChangeAspect="1"/>
                    </pic:cNvPicPr>
                  </pic:nvPicPr>
                  <pic:blipFill>
                    <a:blip r:embed="rId8"/>
                    <a:stretch>
                      <a:fillRect/>
                    </a:stretch>
                  </pic:blipFill>
                  <pic:spPr>
                    <a:xfrm>
                      <a:off x="0" y="0"/>
                      <a:ext cx="3724910" cy="8071485"/>
                    </a:xfrm>
                    <a:prstGeom prst="rect">
                      <a:avLst/>
                    </a:prstGeom>
                  </pic:spPr>
                </pic:pic>
              </a:graphicData>
            </a:graphic>
          </wp:inline>
        </w:drawing>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000000" w:themeColor="text1"/>
          <w:sz w:val="32"/>
          <w:szCs w:val="32"/>
          <w:shd w:val="clear" w:color="auto" w:fill="FFFFFF"/>
          <w:lang w:val="en-US" w:eastAsia="zh-CN"/>
          <w14:textFill>
            <w14:solidFill>
              <w14:schemeClr w14:val="tx1"/>
            </w14:solidFill>
          </w14:textFill>
        </w:rPr>
      </w:pPr>
      <w:r>
        <w:rPr>
          <w:rFonts w:hint="eastAsia" w:ascii="方正黑体_GBK" w:hAnsi="方正黑体_GBK" w:eastAsia="方正黑体_GBK" w:cs="方正黑体_GBK"/>
          <w:b w:val="0"/>
          <w:bCs w:val="0"/>
          <w:color w:val="000000" w:themeColor="text1"/>
          <w:sz w:val="32"/>
          <w:szCs w:val="32"/>
          <w:shd w:val="clear" w:color="auto" w:fill="FFFFFF"/>
          <w:lang w:val="en-US" w:eastAsia="zh-CN"/>
          <w14:textFill>
            <w14:solidFill>
              <w14:schemeClr w14:val="tx1"/>
            </w14:solidFill>
          </w14:textFill>
        </w:rPr>
        <w:t>快递物流查询登录界面</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方正黑体_GBK" w:hAnsi="方正黑体_GBK" w:eastAsia="方正黑体_GBK" w:cs="方正黑体_GBK"/>
          <w:b w:val="0"/>
          <w:bCs w:val="0"/>
          <w:color w:val="000000" w:themeColor="text1"/>
          <w:sz w:val="32"/>
          <w:szCs w:val="32"/>
          <w:shd w:val="clear" w:color="auto" w:fill="FFFFFF"/>
          <w:lang w:val="en-US" w:eastAsia="zh-CN"/>
          <w14:textFill>
            <w14:solidFill>
              <w14:schemeClr w14:val="tx1"/>
            </w14:solidFill>
          </w14:textFill>
        </w:rPr>
      </w:pPr>
      <w:r>
        <w:rPr>
          <w:rFonts w:hint="eastAsia" w:ascii="仿宋" w:hAnsi="仿宋" w:cs="仿宋"/>
          <w:color w:val="000000" w:themeColor="text1"/>
          <w:sz w:val="32"/>
          <w:szCs w:val="32"/>
          <w:shd w:val="clear" w:color="auto" w:fill="FFFFFF"/>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890270</wp:posOffset>
            </wp:positionH>
            <wp:positionV relativeFrom="paragraph">
              <wp:posOffset>20320</wp:posOffset>
            </wp:positionV>
            <wp:extent cx="3723005" cy="8067040"/>
            <wp:effectExtent l="0" t="0" r="10795" b="10160"/>
            <wp:wrapTopAndBottom/>
            <wp:docPr id="1164" name="图片 116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图片 1164" descr="11"/>
                    <pic:cNvPicPr>
                      <a:picLocks noChangeAspect="1"/>
                    </pic:cNvPicPr>
                  </pic:nvPicPr>
                  <pic:blipFill>
                    <a:blip r:embed="rId9"/>
                    <a:stretch>
                      <a:fillRect/>
                    </a:stretch>
                  </pic:blipFill>
                  <pic:spPr>
                    <a:xfrm>
                      <a:off x="0" y="0"/>
                      <a:ext cx="3723005" cy="8067040"/>
                    </a:xfrm>
                    <a:prstGeom prst="rect">
                      <a:avLst/>
                    </a:prstGeom>
                  </pic:spPr>
                </pic:pic>
              </a:graphicData>
            </a:graphic>
          </wp:anchor>
        </w:drawing>
      </w:r>
      <w:r>
        <w:rPr>
          <w:rFonts w:hint="eastAsia" w:ascii="方正黑体_GBK" w:hAnsi="方正黑体_GBK" w:eastAsia="方正黑体_GBK" w:cs="方正黑体_GBK"/>
          <w:b w:val="0"/>
          <w:bCs w:val="0"/>
          <w:color w:val="000000" w:themeColor="text1"/>
          <w:sz w:val="32"/>
          <w:szCs w:val="32"/>
          <w:shd w:val="clear" w:color="auto" w:fill="FFFFFF"/>
          <w:lang w:val="en-US" w:eastAsia="zh-CN"/>
          <w14:textFill>
            <w14:solidFill>
              <w14:schemeClr w14:val="tx1"/>
            </w14:solidFill>
          </w14:textFill>
        </w:rPr>
        <w:t>会员登录界面</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cs="仿宋"/>
          <w:color w:val="000000" w:themeColor="text1"/>
          <w:sz w:val="32"/>
          <w:szCs w:val="32"/>
          <w:shd w:val="clear" w:color="auto" w:fill="FFFFFF"/>
          <w:lang w:val="en-US" w:eastAsia="zh-CN"/>
          <w14:textFill>
            <w14:solidFill>
              <w14:schemeClr w14:val="tx1"/>
            </w14:solidFill>
          </w14:textFill>
        </w:rPr>
      </w:pPr>
      <w:r>
        <w:rPr>
          <w:rFonts w:hint="eastAsia" w:ascii="仿宋" w:hAnsi="仿宋" w:cs="仿宋"/>
          <w:color w:val="000000" w:themeColor="text1"/>
          <w:sz w:val="32"/>
          <w:szCs w:val="32"/>
          <w:shd w:val="clear" w:color="auto" w:fill="FFFFFF"/>
          <w:lang w:val="en-US" w:eastAsia="zh-CN"/>
          <w14:textFill>
            <w14:solidFill>
              <w14:schemeClr w14:val="tx1"/>
            </w14:solidFill>
          </w14:textFill>
        </w:rPr>
        <w:drawing>
          <wp:inline distT="0" distB="0" distL="114300" distR="114300">
            <wp:extent cx="3702685" cy="8023225"/>
            <wp:effectExtent l="0" t="0" r="5715" b="3175"/>
            <wp:docPr id="1165" name="图片 116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图片 1165" descr="4"/>
                    <pic:cNvPicPr>
                      <a:picLocks noChangeAspect="1"/>
                    </pic:cNvPicPr>
                  </pic:nvPicPr>
                  <pic:blipFill>
                    <a:blip r:embed="rId10"/>
                    <a:stretch>
                      <a:fillRect/>
                    </a:stretch>
                  </pic:blipFill>
                  <pic:spPr>
                    <a:xfrm>
                      <a:off x="0" y="0"/>
                      <a:ext cx="3702685" cy="8023225"/>
                    </a:xfrm>
                    <a:prstGeom prst="rect">
                      <a:avLst/>
                    </a:prstGeom>
                  </pic:spPr>
                </pic:pic>
              </a:graphicData>
            </a:graphic>
          </wp:inline>
        </w:drawing>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000000" w:themeColor="text1"/>
          <w:sz w:val="32"/>
          <w:szCs w:val="32"/>
          <w:shd w:val="clear" w:color="auto" w:fill="FFFFFF"/>
          <w:lang w:val="en-US" w:eastAsia="zh-CN"/>
          <w14:textFill>
            <w14:solidFill>
              <w14:schemeClr w14:val="tx1"/>
            </w14:solidFill>
          </w14:textFill>
        </w:rPr>
      </w:pPr>
      <w:r>
        <w:rPr>
          <w:rFonts w:hint="eastAsia" w:ascii="方正黑体_GBK" w:hAnsi="方正黑体_GBK" w:eastAsia="方正黑体_GBK" w:cs="方正黑体_GBK"/>
          <w:b w:val="0"/>
          <w:bCs w:val="0"/>
          <w:color w:val="000000" w:themeColor="text1"/>
          <w:sz w:val="32"/>
          <w:szCs w:val="32"/>
          <w:shd w:val="clear" w:color="auto" w:fill="FFFFFF"/>
          <w:lang w:val="en-US" w:eastAsia="zh-CN"/>
          <w14:textFill>
            <w14:solidFill>
              <w14:schemeClr w14:val="tx1"/>
            </w14:solidFill>
          </w14:textFill>
        </w:rPr>
        <w:t>订货产品展示</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黑体" w:hAnsi="黑体" w:eastAsia="黑体" w:cs="黑体"/>
          <w:b/>
          <w:bCs/>
          <w:color w:val="000000" w:themeColor="text1"/>
          <w:sz w:val="32"/>
          <w:szCs w:val="32"/>
          <w:shd w:val="clear" w:color="auto" w:fill="FFFFFF"/>
          <w:lang w:val="en-US" w:eastAsia="zh-CN"/>
          <w14:textFill>
            <w14:solidFill>
              <w14:schemeClr w14:val="tx1"/>
            </w14:solidFill>
          </w14:textFill>
        </w:rPr>
      </w:pPr>
      <w:r>
        <w:rPr>
          <w:rFonts w:hint="eastAsia" w:ascii="仿宋" w:hAnsi="仿宋" w:cs="仿宋"/>
          <w:color w:val="000000" w:themeColor="text1"/>
          <w:sz w:val="32"/>
          <w:szCs w:val="32"/>
          <w:shd w:val="clear" w:color="auto" w:fill="FFFFFF"/>
          <w:lang w:val="en-US" w:eastAsia="zh-CN"/>
          <w14:textFill>
            <w14:solidFill>
              <w14:schemeClr w14:val="tx1"/>
            </w14:solidFill>
          </w14:textFill>
        </w:rPr>
        <w:drawing>
          <wp:inline distT="0" distB="0" distL="114300" distR="114300">
            <wp:extent cx="3423920" cy="7419975"/>
            <wp:effectExtent l="0" t="0" r="5080" b="22225"/>
            <wp:docPr id="1166" name="图片 116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图片 1166" descr="15"/>
                    <pic:cNvPicPr>
                      <a:picLocks noChangeAspect="1"/>
                    </pic:cNvPicPr>
                  </pic:nvPicPr>
                  <pic:blipFill>
                    <a:blip r:embed="rId11"/>
                    <a:stretch>
                      <a:fillRect/>
                    </a:stretch>
                  </pic:blipFill>
                  <pic:spPr>
                    <a:xfrm>
                      <a:off x="0" y="0"/>
                      <a:ext cx="3423920" cy="7419975"/>
                    </a:xfrm>
                    <a:prstGeom prst="rect">
                      <a:avLst/>
                    </a:prstGeom>
                  </pic:spPr>
                </pic:pic>
              </a:graphicData>
            </a:graphic>
          </wp:inline>
        </w:drawing>
      </w:r>
    </w:p>
    <w:p>
      <w:pPr>
        <w:pStyle w:val="15"/>
        <w:keepNext w:val="0"/>
        <w:keepLines w:val="0"/>
        <w:pageBreakBefore w:val="0"/>
        <w:widowControl w:val="0"/>
        <w:kinsoku/>
        <w:wordWrap/>
        <w:overflowPunct/>
        <w:topLinePunct w:val="0"/>
        <w:autoSpaceDE/>
        <w:autoSpaceDN/>
        <w:bidi w:val="0"/>
        <w:adjustRightInd/>
        <w:snapToGrid w:val="0"/>
        <w:spacing w:before="0" w:beforeAutospacing="0" w:after="0" w:afterAutospacing="0" w:line="590" w:lineRule="exact"/>
        <w:ind w:left="0" w:leftChars="0" w:right="0" w:rightChars="0" w:firstLine="0" w:firstLineChars="0"/>
        <w:jc w:val="center"/>
        <w:textAlignment w:val="auto"/>
        <w:rPr>
          <w:rFonts w:hint="eastAsia" w:ascii="方正黑体_GBK" w:hAnsi="方正黑体_GBK" w:eastAsia="方正黑体_GBK" w:cs="方正黑体_GBK"/>
          <w:b/>
          <w:bCs/>
          <w:color w:val="000000" w:themeColor="text1"/>
          <w:sz w:val="32"/>
          <w:szCs w:val="32"/>
          <w:shd w:val="clear" w:color="auto" w:fill="FFFFFF"/>
          <w:lang w:val="en-US" w:eastAsia="zh-CN"/>
          <w14:textFill>
            <w14:solidFill>
              <w14:schemeClr w14:val="tx1"/>
            </w14:solidFill>
          </w14:textFill>
        </w:rPr>
      </w:pPr>
      <w:r>
        <w:rPr>
          <w:rFonts w:hint="eastAsia" w:ascii="方正黑体_GBK" w:hAnsi="方正黑体_GBK" w:eastAsia="方正黑体_GBK" w:cs="方正黑体_GBK"/>
          <w:b w:val="0"/>
          <w:bCs w:val="0"/>
          <w:color w:val="000000" w:themeColor="text1"/>
          <w:sz w:val="32"/>
          <w:szCs w:val="32"/>
          <w:shd w:val="clear" w:color="auto" w:fill="FFFFFF"/>
          <w:lang w:val="en-US" w:eastAsia="zh-CN"/>
          <w14:textFill>
            <w14:solidFill>
              <w14:schemeClr w14:val="tx1"/>
            </w14:solidFill>
          </w14:textFill>
        </w:rPr>
        <w:t>订货分类</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cs="仿宋"/>
          <w:color w:val="000000" w:themeColor="text1"/>
          <w:sz w:val="32"/>
          <w:szCs w:val="32"/>
          <w:shd w:val="clear" w:color="auto" w:fill="FFFFFF"/>
          <w:lang w:val="en-US" w:eastAsia="zh-CN"/>
          <w14:textFill>
            <w14:solidFill>
              <w14:schemeClr w14:val="tx1"/>
            </w14:solidFill>
          </w14:textFill>
        </w:rPr>
      </w:pPr>
      <w:r>
        <w:rPr>
          <w:rFonts w:hint="eastAsia" w:ascii="仿宋" w:hAnsi="仿宋" w:cs="仿宋"/>
          <w:color w:val="000000" w:themeColor="text1"/>
          <w:sz w:val="32"/>
          <w:szCs w:val="32"/>
          <w:shd w:val="clear" w:color="auto" w:fill="FFFFFF"/>
          <w:lang w:val="en-US" w:eastAsia="zh-CN"/>
          <w14:textFill>
            <w14:solidFill>
              <w14:schemeClr w14:val="tx1"/>
            </w14:solidFill>
          </w14:textFill>
        </w:rPr>
        <w:drawing>
          <wp:inline distT="0" distB="0" distL="114300" distR="114300">
            <wp:extent cx="3525520" cy="7639685"/>
            <wp:effectExtent l="0" t="0" r="5080" b="5715"/>
            <wp:docPr id="1167" name="图片 116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图片 1167" descr="2"/>
                    <pic:cNvPicPr>
                      <a:picLocks noChangeAspect="1"/>
                    </pic:cNvPicPr>
                  </pic:nvPicPr>
                  <pic:blipFill>
                    <a:blip r:embed="rId12"/>
                    <a:stretch>
                      <a:fillRect/>
                    </a:stretch>
                  </pic:blipFill>
                  <pic:spPr>
                    <a:xfrm>
                      <a:off x="0" y="0"/>
                      <a:ext cx="3525520" cy="7639685"/>
                    </a:xfrm>
                    <a:prstGeom prst="rect">
                      <a:avLst/>
                    </a:prstGeom>
                  </pic:spPr>
                </pic:pic>
              </a:graphicData>
            </a:graphic>
          </wp:inline>
        </w:drawing>
      </w:r>
      <w:r>
        <w:rPr>
          <w:rFonts w:hint="eastAsia" w:ascii="仿宋" w:hAnsi="仿宋" w:cs="仿宋"/>
          <w:color w:val="000000" w:themeColor="text1"/>
          <w:sz w:val="32"/>
          <w:szCs w:val="32"/>
          <w:shd w:val="clear" w:color="auto" w:fill="FFFFFF"/>
          <w:lang w:val="en-US" w:eastAsia="zh-CN"/>
          <w14:textFill>
            <w14:solidFill>
              <w14:schemeClr w14:val="tx1"/>
            </w14:solidFill>
          </w14:textFill>
        </w:rPr>
        <w:drawing>
          <wp:inline distT="0" distB="0" distL="114300" distR="114300">
            <wp:extent cx="3949065" cy="8557260"/>
            <wp:effectExtent l="0" t="0" r="13335" b="2540"/>
            <wp:docPr id="1168" name="图片 116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图片 1168" descr="8"/>
                    <pic:cNvPicPr>
                      <a:picLocks noChangeAspect="1"/>
                    </pic:cNvPicPr>
                  </pic:nvPicPr>
                  <pic:blipFill>
                    <a:blip r:embed="rId13"/>
                    <a:stretch>
                      <a:fillRect/>
                    </a:stretch>
                  </pic:blipFill>
                  <pic:spPr>
                    <a:xfrm>
                      <a:off x="0" y="0"/>
                      <a:ext cx="3949065" cy="8557260"/>
                    </a:xfrm>
                    <a:prstGeom prst="rect">
                      <a:avLst/>
                    </a:prstGeom>
                  </pic:spPr>
                </pic:pic>
              </a:graphicData>
            </a:graphic>
          </wp:inline>
        </w:drawing>
      </w:r>
      <w:r>
        <w:rPr>
          <w:rFonts w:hint="eastAsia" w:ascii="仿宋" w:hAnsi="仿宋" w:cs="仿宋"/>
          <w:color w:val="000000" w:themeColor="text1"/>
          <w:sz w:val="32"/>
          <w:szCs w:val="32"/>
          <w:shd w:val="clear" w:color="auto" w:fill="FFFFFF"/>
          <w:lang w:val="en-US" w:eastAsia="zh-CN"/>
          <w14:textFill>
            <w14:solidFill>
              <w14:schemeClr w14:val="tx1"/>
            </w14:solidFill>
          </w14:textFill>
        </w:rPr>
        <w:drawing>
          <wp:inline distT="0" distB="0" distL="114300" distR="114300">
            <wp:extent cx="3957955" cy="8576310"/>
            <wp:effectExtent l="0" t="0" r="4445" b="8890"/>
            <wp:docPr id="1169" name="图片 116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图片 1169" descr="9"/>
                    <pic:cNvPicPr>
                      <a:picLocks noChangeAspect="1"/>
                    </pic:cNvPicPr>
                  </pic:nvPicPr>
                  <pic:blipFill>
                    <a:blip r:embed="rId14"/>
                    <a:stretch>
                      <a:fillRect/>
                    </a:stretch>
                  </pic:blipFill>
                  <pic:spPr>
                    <a:xfrm>
                      <a:off x="0" y="0"/>
                      <a:ext cx="3957955" cy="8576310"/>
                    </a:xfrm>
                    <a:prstGeom prst="rect">
                      <a:avLst/>
                    </a:prstGeom>
                  </pic:spPr>
                </pic:pic>
              </a:graphicData>
            </a:graphic>
          </wp:inline>
        </w:drawing>
      </w:r>
      <w:r>
        <w:rPr>
          <w:rFonts w:hint="eastAsia" w:ascii="仿宋" w:hAnsi="仿宋" w:cs="仿宋"/>
          <w:color w:val="000000" w:themeColor="text1"/>
          <w:sz w:val="32"/>
          <w:szCs w:val="32"/>
          <w:shd w:val="clear" w:color="auto" w:fill="FFFFFF"/>
          <w:lang w:val="en-US" w:eastAsia="zh-CN"/>
          <w14:textFill>
            <w14:solidFill>
              <w14:schemeClr w14:val="tx1"/>
            </w14:solidFill>
          </w14:textFill>
        </w:rPr>
        <w:drawing>
          <wp:inline distT="0" distB="0" distL="114300" distR="114300">
            <wp:extent cx="3926840" cy="8509000"/>
            <wp:effectExtent l="0" t="0" r="10160" b="0"/>
            <wp:docPr id="1170" name="图片 117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图片 1170" descr="10"/>
                    <pic:cNvPicPr>
                      <a:picLocks noChangeAspect="1"/>
                    </pic:cNvPicPr>
                  </pic:nvPicPr>
                  <pic:blipFill>
                    <a:blip r:embed="rId15"/>
                    <a:stretch>
                      <a:fillRect/>
                    </a:stretch>
                  </pic:blipFill>
                  <pic:spPr>
                    <a:xfrm>
                      <a:off x="0" y="0"/>
                      <a:ext cx="3926840" cy="8509000"/>
                    </a:xfrm>
                    <a:prstGeom prst="rect">
                      <a:avLst/>
                    </a:prstGeom>
                  </pic:spPr>
                </pic:pic>
              </a:graphicData>
            </a:graphic>
          </wp:inline>
        </w:drawing>
      </w:r>
      <w:r>
        <w:rPr>
          <w:rFonts w:hint="eastAsia" w:ascii="仿宋" w:hAnsi="仿宋" w:cs="仿宋"/>
          <w:color w:val="000000" w:themeColor="text1"/>
          <w:sz w:val="32"/>
          <w:szCs w:val="32"/>
          <w:shd w:val="clear" w:color="auto" w:fill="FFFFFF"/>
          <w:lang w:val="en-US" w:eastAsia="zh-CN"/>
          <w14:textFill>
            <w14:solidFill>
              <w14:schemeClr w14:val="tx1"/>
            </w14:solidFill>
          </w14:textFill>
        </w:rPr>
        <w:drawing>
          <wp:inline distT="0" distB="0" distL="114300" distR="114300">
            <wp:extent cx="3873500" cy="8392795"/>
            <wp:effectExtent l="0" t="0" r="12700" b="14605"/>
            <wp:docPr id="1171" name="图片 117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图片 1171" descr="12"/>
                    <pic:cNvPicPr>
                      <a:picLocks noChangeAspect="1"/>
                    </pic:cNvPicPr>
                  </pic:nvPicPr>
                  <pic:blipFill>
                    <a:blip r:embed="rId16"/>
                    <a:stretch>
                      <a:fillRect/>
                    </a:stretch>
                  </pic:blipFill>
                  <pic:spPr>
                    <a:xfrm>
                      <a:off x="0" y="0"/>
                      <a:ext cx="3873500" cy="8392795"/>
                    </a:xfrm>
                    <a:prstGeom prst="rect">
                      <a:avLst/>
                    </a:prstGeom>
                  </pic:spPr>
                </pic:pic>
              </a:graphicData>
            </a:graphic>
          </wp:inline>
        </w:drawing>
      </w:r>
      <w:r>
        <w:rPr>
          <w:rFonts w:hint="eastAsia" w:ascii="仿宋" w:hAnsi="仿宋" w:cs="仿宋"/>
          <w:color w:val="000000" w:themeColor="text1"/>
          <w:sz w:val="32"/>
          <w:szCs w:val="32"/>
          <w:shd w:val="clear" w:color="auto" w:fill="FFFFFF"/>
          <w:lang w:val="en-US" w:eastAsia="zh-CN"/>
          <w14:textFill>
            <w14:solidFill>
              <w14:schemeClr w14:val="tx1"/>
            </w14:solidFill>
          </w14:textFill>
        </w:rPr>
        <w:drawing>
          <wp:inline distT="0" distB="0" distL="114300" distR="114300">
            <wp:extent cx="3922395" cy="8499475"/>
            <wp:effectExtent l="0" t="0" r="14605" b="9525"/>
            <wp:docPr id="1172" name="图片 117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图片 1172" descr="13"/>
                    <pic:cNvPicPr>
                      <a:picLocks noChangeAspect="1"/>
                    </pic:cNvPicPr>
                  </pic:nvPicPr>
                  <pic:blipFill>
                    <a:blip r:embed="rId17"/>
                    <a:stretch>
                      <a:fillRect/>
                    </a:stretch>
                  </pic:blipFill>
                  <pic:spPr>
                    <a:xfrm>
                      <a:off x="0" y="0"/>
                      <a:ext cx="3922395" cy="8499475"/>
                    </a:xfrm>
                    <a:prstGeom prst="rect">
                      <a:avLst/>
                    </a:prstGeom>
                  </pic:spPr>
                </pic:pic>
              </a:graphicData>
            </a:graphic>
          </wp:inline>
        </w:drawing>
      </w:r>
      <w:r>
        <w:rPr>
          <w:rFonts w:hint="eastAsia" w:ascii="仿宋" w:hAnsi="仿宋" w:cs="仿宋"/>
          <w:color w:val="000000" w:themeColor="text1"/>
          <w:sz w:val="32"/>
          <w:szCs w:val="32"/>
          <w:shd w:val="clear" w:color="auto" w:fill="FFFFFF"/>
          <w:lang w:val="en-US" w:eastAsia="zh-CN"/>
          <w14:textFill>
            <w14:solidFill>
              <w14:schemeClr w14:val="tx1"/>
            </w14:solidFill>
          </w14:textFill>
        </w:rPr>
        <w:drawing>
          <wp:inline distT="0" distB="0" distL="114300" distR="114300">
            <wp:extent cx="3952875" cy="8566150"/>
            <wp:effectExtent l="0" t="0" r="9525" b="19050"/>
            <wp:docPr id="1173" name="图片 117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图片 1173" descr="14"/>
                    <pic:cNvPicPr>
                      <a:picLocks noChangeAspect="1"/>
                    </pic:cNvPicPr>
                  </pic:nvPicPr>
                  <pic:blipFill>
                    <a:blip r:embed="rId18"/>
                    <a:stretch>
                      <a:fillRect/>
                    </a:stretch>
                  </pic:blipFill>
                  <pic:spPr>
                    <a:xfrm>
                      <a:off x="0" y="0"/>
                      <a:ext cx="3952875" cy="8566150"/>
                    </a:xfrm>
                    <a:prstGeom prst="rect">
                      <a:avLst/>
                    </a:prstGeom>
                  </pic:spPr>
                </pic:pic>
              </a:graphicData>
            </a:graphic>
          </wp:inline>
        </w:drawing>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0" w:firstLineChars="0"/>
        <w:jc w:val="center"/>
        <w:textAlignment w:val="auto"/>
        <w:rPr>
          <w:rFonts w:hint="eastAsia" w:ascii="方正黑体_GBK" w:hAnsi="方正黑体_GBK" w:eastAsia="方正黑体_GBK" w:cs="方正黑体_GBK"/>
          <w:color w:val="000000" w:themeColor="text1"/>
          <w:sz w:val="32"/>
          <w:szCs w:val="32"/>
          <w:shd w:val="clear" w:color="auto" w:fill="FFFFFF"/>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shd w:val="clear" w:color="auto" w:fill="FFFFFF"/>
          <w:lang w:val="en-US" w:eastAsia="zh-CN"/>
          <w14:textFill>
            <w14:solidFill>
              <w14:schemeClr w14:val="tx1"/>
            </w14:solidFill>
          </w14:textFill>
        </w:rPr>
        <w:t>订货系统运行原理示意图（部分行业，仅用于图示示意）</w:t>
      </w:r>
    </w:p>
    <w:p>
      <w:pPr>
        <w:pStyle w:val="4"/>
        <w:keepNext/>
        <w:keepLines/>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3" w:firstLineChars="200"/>
        <w:jc w:val="both"/>
        <w:textAlignment w:val="auto"/>
        <w:outlineLvl w:val="2"/>
        <w:rPr>
          <w:rFonts w:hint="eastAsia"/>
          <w:sz w:val="32"/>
          <w:szCs w:val="40"/>
          <w:lang w:val="en-US" w:eastAsia="zh-CN"/>
        </w:rPr>
      </w:pPr>
      <w:bookmarkStart w:id="20" w:name="_Toc4432"/>
      <w:bookmarkStart w:id="21" w:name="_Toc856"/>
      <w:bookmarkStart w:id="22" w:name="_Toc1091"/>
      <w:r>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drawing>
          <wp:anchor distT="0" distB="0" distL="114300" distR="114300" simplePos="0" relativeHeight="251661312" behindDoc="1" locked="0" layoutInCell="1" allowOverlap="1">
            <wp:simplePos x="0" y="0"/>
            <wp:positionH relativeFrom="column">
              <wp:posOffset>116840</wp:posOffset>
            </wp:positionH>
            <wp:positionV relativeFrom="paragraph">
              <wp:posOffset>219710</wp:posOffset>
            </wp:positionV>
            <wp:extent cx="5272405" cy="3274695"/>
            <wp:effectExtent l="106045" t="86360" r="107950" b="93345"/>
            <wp:wrapTight wrapText="bothSides">
              <wp:wrapPolygon>
                <wp:start x="1126" y="-570"/>
                <wp:lineTo x="502" y="-67"/>
                <wp:lineTo x="-434" y="1441"/>
                <wp:lineTo x="-434" y="19200"/>
                <wp:lineTo x="86" y="20875"/>
                <wp:lineTo x="86" y="21210"/>
                <wp:lineTo x="1335" y="22048"/>
                <wp:lineTo x="1751" y="22048"/>
                <wp:lineTo x="19753" y="22048"/>
                <wp:lineTo x="20169" y="22048"/>
                <wp:lineTo x="21418" y="21210"/>
                <wp:lineTo x="21418" y="20875"/>
                <wp:lineTo x="21938" y="19200"/>
                <wp:lineTo x="21938" y="1441"/>
                <wp:lineTo x="21002" y="-67"/>
                <wp:lineTo x="20377" y="-570"/>
                <wp:lineTo x="1126" y="-570"/>
              </wp:wrapPolygon>
            </wp:wrapTight>
            <wp:docPr id="1174" name="图片 1174" descr="1643035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图片 1174" descr="1643035784(1)"/>
                    <pic:cNvPicPr>
                      <a:picLocks noChangeAspect="1"/>
                    </pic:cNvPicPr>
                  </pic:nvPicPr>
                  <pic:blipFill>
                    <a:blip r:embed="rId19"/>
                    <a:stretch>
                      <a:fillRect/>
                    </a:stretch>
                  </pic:blipFill>
                  <pic:spPr>
                    <a:xfrm>
                      <a:off x="0" y="0"/>
                      <a:ext cx="5272405" cy="3274695"/>
                    </a:xfrm>
                    <a:prstGeom prst="roundRect">
                      <a:avLst/>
                    </a:prstGeom>
                    <a:effectLst>
                      <a:outerShdw blurRad="63500" sx="102000" sy="102000" algn="ctr" rotWithShape="0">
                        <a:prstClr val="black">
                          <a:alpha val="40000"/>
                        </a:prstClr>
                      </a:outerShdw>
                    </a:effectLst>
                  </pic:spPr>
                </pic:pic>
              </a:graphicData>
            </a:graphic>
          </wp:anchor>
        </w:drawing>
      </w:r>
      <w:r>
        <w:rPr>
          <w:rFonts w:hint="eastAsia" w:ascii="方正楷体_GBK" w:hAnsi="方正楷体_GBK" w:eastAsia="方正楷体_GBK" w:cs="方正楷体_GBK"/>
          <w:b w:val="0"/>
          <w:bCs w:val="0"/>
          <w:sz w:val="32"/>
          <w:szCs w:val="40"/>
          <w:lang w:val="en-US" w:eastAsia="zh-CN"/>
        </w:rPr>
        <w:t>（三）为传统商贸流通企业提供全程支撑</w:t>
      </w:r>
      <w:bookmarkEnd w:id="20"/>
      <w:bookmarkEnd w:id="21"/>
      <w:bookmarkEnd w:id="22"/>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shd w:val="clear" w:color="auto" w:fill="FFFFFF"/>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shd w:val="clear" w:color="auto" w:fill="FFFFFF"/>
          <w:lang w:val="en-US" w:eastAsia="zh-CN"/>
          <w14:textFill>
            <w14:solidFill>
              <w14:schemeClr w14:val="tx1"/>
            </w14:solidFill>
          </w14:textFill>
        </w:rPr>
        <w:t>由服务中心运营团队为新平县传统商贸流通企业群体提供专业的电商技术支持，帮助其快速实现电商转型升级。</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仿宋_GBK" w:cs="Times New Roman"/>
          <w:b w:val="0"/>
          <w:bCs w:val="0"/>
          <w:sz w:val="32"/>
          <w:szCs w:val="32"/>
          <w:lang w:val="en-US" w:eastAsia="zh-CN"/>
        </w:rPr>
      </w:pPr>
      <w:bookmarkStart w:id="23" w:name="_Toc15091"/>
      <w:bookmarkStart w:id="24" w:name="_Toc3931"/>
      <w:bookmarkStart w:id="25" w:name="_Toc7456"/>
      <w:r>
        <w:rPr>
          <w:rFonts w:hint="default" w:ascii="Times New Roman" w:hAnsi="Times New Roman" w:eastAsia="方正仿宋_GBK" w:cs="Times New Roman"/>
          <w:b w:val="0"/>
          <w:bCs w:val="0"/>
          <w:sz w:val="32"/>
          <w:szCs w:val="32"/>
          <w:lang w:val="en-US" w:eastAsia="zh-CN"/>
        </w:rPr>
        <w:t>1.工业品下乡整合宣传服务</w:t>
      </w:r>
      <w:bookmarkEnd w:id="23"/>
      <w:bookmarkEnd w:id="24"/>
      <w:bookmarkEnd w:id="25"/>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default" w:ascii="Times New Roman" w:hAnsi="Times New Roman" w:eastAsia="方正仿宋_GBK" w:cs="Times New Roman"/>
          <w:b w:val="0"/>
          <w:bCs w:val="0"/>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32"/>
          <w:szCs w:val="32"/>
          <w:shd w:val="clear" w:color="auto" w:fill="FFFFFF"/>
          <w:lang w:val="en-US" w:eastAsia="zh-CN"/>
          <w14:textFill>
            <w14:solidFill>
              <w14:schemeClr w14:val="tx1"/>
            </w14:solidFill>
          </w14:textFill>
        </w:rPr>
        <w:t>每月对全部电商服务站开展工业品下乡宣传，定期为村站举办工业品下乡的线下展卖地推活动。</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仿宋_GBK" w:cs="Times New Roman"/>
          <w:b w:val="0"/>
          <w:bCs w:val="0"/>
          <w:sz w:val="32"/>
          <w:szCs w:val="32"/>
          <w:lang w:val="en-US" w:eastAsia="zh-CN"/>
        </w:rPr>
      </w:pPr>
      <w:bookmarkStart w:id="26" w:name="_Toc31800"/>
      <w:bookmarkStart w:id="27" w:name="_Toc31480"/>
      <w:bookmarkStart w:id="28" w:name="_Toc21191"/>
      <w:r>
        <w:rPr>
          <w:rFonts w:hint="default" w:ascii="Times New Roman" w:hAnsi="Times New Roman" w:eastAsia="方正仿宋_GBK" w:cs="Times New Roman"/>
          <w:b w:val="0"/>
          <w:bCs w:val="0"/>
          <w:sz w:val="32"/>
          <w:szCs w:val="32"/>
          <w:lang w:val="en-US" w:eastAsia="zh-CN"/>
        </w:rPr>
        <w:t>2.利用仓储中心建设商品分拨中心</w:t>
      </w:r>
      <w:bookmarkEnd w:id="26"/>
      <w:bookmarkEnd w:id="27"/>
      <w:bookmarkEnd w:id="28"/>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default" w:ascii="Times New Roman" w:hAnsi="Times New Roman" w:eastAsia="方正仿宋_GBK" w:cs="Times New Roman"/>
          <w:b w:val="0"/>
          <w:bCs w:val="0"/>
          <w:color w:val="000000" w:themeColor="text1"/>
          <w:sz w:val="32"/>
          <w:szCs w:val="32"/>
          <w:shd w:val="clear" w:color="auto" w:fill="FFFFFF"/>
          <w:lang w:eastAsia="zh-CN"/>
          <w14:textFill>
            <w14:solidFill>
              <w14:schemeClr w14:val="tx1"/>
            </w14:solidFill>
          </w14:textFill>
        </w:rPr>
      </w:pPr>
      <w:r>
        <w:rPr>
          <w:rFonts w:hint="default" w:ascii="Times New Roman" w:hAnsi="Times New Roman" w:eastAsia="方正仿宋_GBK" w:cs="Times New Roman"/>
          <w:b w:val="0"/>
          <w:bCs w:val="0"/>
          <w:color w:val="000000" w:themeColor="text1"/>
          <w:sz w:val="32"/>
          <w:szCs w:val="32"/>
          <w:shd w:val="clear" w:color="auto" w:fill="FFFFFF"/>
          <w:lang w:val="en-US" w:eastAsia="zh-CN"/>
          <w14:textFill>
            <w14:solidFill>
              <w14:schemeClr w14:val="tx1"/>
            </w14:solidFill>
          </w14:textFill>
        </w:rPr>
        <w:t>通过配送车辆为全县各乡村商铺、服务站配送工业品及农资用品，由仓储分拣配送中心进行统一配货，降低配送成本，提高配送效率，进一步提升乡村生活用品质量</w:t>
      </w:r>
      <w:r>
        <w:rPr>
          <w:rFonts w:hint="default" w:ascii="Times New Roman" w:hAnsi="Times New Roman" w:eastAsia="方正仿宋_GBK" w:cs="Times New Roman"/>
          <w:b w:val="0"/>
          <w:bCs w:val="0"/>
          <w:color w:val="000000" w:themeColor="text1"/>
          <w:sz w:val="32"/>
          <w:szCs w:val="32"/>
          <w:shd w:val="clear" w:color="auto" w:fill="FFFFFF"/>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仿宋_GBK" w:cs="Times New Roman"/>
          <w:b w:val="0"/>
          <w:bCs w:val="0"/>
          <w:sz w:val="32"/>
          <w:szCs w:val="32"/>
          <w:lang w:val="en-US" w:eastAsia="zh-CN"/>
        </w:rPr>
      </w:pPr>
      <w:bookmarkStart w:id="29" w:name="_Toc23202"/>
      <w:bookmarkStart w:id="30" w:name="_Toc22395"/>
      <w:bookmarkStart w:id="31" w:name="_Toc23965"/>
      <w:r>
        <w:rPr>
          <w:rFonts w:hint="default" w:ascii="Times New Roman" w:hAnsi="Times New Roman" w:eastAsia="方正仿宋_GBK" w:cs="Times New Roman"/>
          <w:b w:val="0"/>
          <w:bCs w:val="0"/>
          <w:sz w:val="32"/>
          <w:szCs w:val="32"/>
          <w:lang w:val="en-US" w:eastAsia="zh-CN"/>
        </w:rPr>
        <w:t>3.整合商贸流通企业资源</w:t>
      </w:r>
      <w:bookmarkEnd w:id="29"/>
      <w:bookmarkEnd w:id="30"/>
      <w:bookmarkEnd w:id="31"/>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shd w:val="clear" w:color="auto" w:fill="FFFFFF"/>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shd w:val="clear" w:color="auto" w:fill="FFFFFF"/>
          <w:lang w:val="en-US" w:eastAsia="zh-CN"/>
          <w14:textFill>
            <w14:solidFill>
              <w14:schemeClr w14:val="tx1"/>
            </w14:solidFill>
          </w14:textFill>
        </w:rPr>
        <w:t>对接到乡镇、村级电商服务站点，提供便利，同时促使商贸流通企业产品下行，加大内循环，实现资源共享，共同发展，共同进步。</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仿宋_GBK" w:cs="Times New Roman"/>
          <w:b w:val="0"/>
          <w:bCs w:val="0"/>
          <w:sz w:val="32"/>
          <w:szCs w:val="32"/>
          <w:lang w:val="en-US" w:eastAsia="zh-CN"/>
        </w:rPr>
      </w:pPr>
      <w:bookmarkStart w:id="32" w:name="_Toc1428"/>
      <w:bookmarkStart w:id="33" w:name="_Toc8150"/>
      <w:r>
        <w:rPr>
          <w:rFonts w:hint="default" w:ascii="Times New Roman" w:hAnsi="Times New Roman" w:eastAsia="方正仿宋_GBK" w:cs="Times New Roman"/>
          <w:b w:val="0"/>
          <w:bCs w:val="0"/>
          <w:sz w:val="32"/>
          <w:szCs w:val="32"/>
          <w:lang w:val="en-US" w:eastAsia="zh-CN"/>
        </w:rPr>
        <w:t>4.支持本地农村传统流通企业转型升级</w:t>
      </w:r>
      <w:bookmarkEnd w:id="32"/>
      <w:bookmarkEnd w:id="33"/>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default" w:ascii="Times New Roman" w:hAnsi="Times New Roman" w:eastAsia="方正仿宋_GBK" w:cs="Times New Roman"/>
          <w:b w:val="0"/>
          <w:bCs w:val="0"/>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32"/>
          <w:szCs w:val="32"/>
          <w:shd w:val="clear" w:color="auto" w:fill="FFFFFF"/>
          <w:lang w:val="en-US" w:eastAsia="zh-CN"/>
          <w14:textFill>
            <w14:solidFill>
              <w14:schemeClr w14:val="tx1"/>
            </w14:solidFill>
          </w14:textFill>
        </w:rPr>
        <w:t>建设本地化连锁化的服务和营销体系，实现线上线下交易融合，提升生产、流通的组织化和标准化水平,通过全程孵化和技术指导，帮助新平县</w:t>
      </w:r>
      <w:r>
        <w:rPr>
          <w:rFonts w:hint="eastAsia" w:ascii="Times New Roman" w:hAnsi="Times New Roman" w:eastAsia="方正仿宋_GBK" w:cs="Times New Roman"/>
          <w:b w:val="0"/>
          <w:bCs w:val="0"/>
          <w:color w:val="000000" w:themeColor="text1"/>
          <w:sz w:val="32"/>
          <w:szCs w:val="32"/>
          <w:shd w:val="clear" w:color="auto" w:fill="FFFFFF"/>
          <w:lang w:val="en-US" w:eastAsia="zh-CN"/>
          <w14:textFill>
            <w14:solidFill>
              <w14:schemeClr w14:val="tx1"/>
            </w14:solidFill>
          </w14:textFill>
        </w:rPr>
        <w:t>1—2家</w:t>
      </w:r>
      <w:r>
        <w:rPr>
          <w:rFonts w:hint="default" w:ascii="Times New Roman" w:hAnsi="Times New Roman" w:eastAsia="方正仿宋_GBK" w:cs="Times New Roman"/>
          <w:b w:val="0"/>
          <w:bCs w:val="0"/>
          <w:color w:val="000000" w:themeColor="text1"/>
          <w:sz w:val="32"/>
          <w:szCs w:val="32"/>
          <w:shd w:val="clear" w:color="auto" w:fill="FFFFFF"/>
          <w:lang w:val="en-US" w:eastAsia="zh-CN"/>
          <w14:textFill>
            <w14:solidFill>
              <w14:schemeClr w14:val="tx1"/>
            </w14:solidFill>
          </w14:textFill>
        </w:rPr>
        <w:t>传统商贸流通企业实现转型升级，力争年线上销售额达10万元以上。</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outlineLvl w:val="2"/>
        <w:rPr>
          <w:rFonts w:hint="eastAsia" w:ascii="方正楷体_GBK" w:hAnsi="方正楷体_GBK" w:eastAsia="方正楷体_GBK" w:cs="方正楷体_GBK"/>
          <w:b w:val="0"/>
          <w:bCs w:val="0"/>
          <w:color w:val="000000" w:themeColor="text1"/>
          <w:sz w:val="32"/>
          <w:szCs w:val="32"/>
          <w:shd w:val="clear" w:color="auto" w:fill="FFFFFF"/>
          <w:lang w:val="en-US" w:eastAsia="zh-CN"/>
          <w14:textFill>
            <w14:solidFill>
              <w14:schemeClr w14:val="tx1"/>
            </w14:solidFill>
          </w14:textFill>
        </w:rPr>
      </w:pPr>
      <w:bookmarkStart w:id="34" w:name="_Toc7300"/>
      <w:bookmarkStart w:id="35" w:name="_Toc146"/>
      <w:bookmarkStart w:id="36" w:name="_Toc21716"/>
      <w:bookmarkStart w:id="37" w:name="_Toc10526"/>
      <w:bookmarkStart w:id="38" w:name="_Toc28588"/>
      <w:bookmarkStart w:id="39" w:name="_Toc13351"/>
      <w:bookmarkStart w:id="40" w:name="_Toc2624"/>
      <w:bookmarkStart w:id="41" w:name="_Toc20496"/>
      <w:bookmarkStart w:id="42" w:name="_Toc19695"/>
      <w:bookmarkStart w:id="43" w:name="_Toc11378"/>
      <w:bookmarkStart w:id="44" w:name="_Toc32542"/>
      <w:bookmarkStart w:id="45" w:name="_Toc2740"/>
      <w:bookmarkStart w:id="46" w:name="_Toc4174"/>
      <w:bookmarkStart w:id="47" w:name="_Toc13260"/>
      <w:bookmarkStart w:id="48" w:name="_Toc8166"/>
      <w:bookmarkStart w:id="49" w:name="_Toc31075"/>
      <w:r>
        <w:rPr>
          <w:rFonts w:hint="eastAsia" w:ascii="方正楷体_GBK" w:hAnsi="方正楷体_GBK" w:eastAsia="方正楷体_GBK" w:cs="方正楷体_GBK"/>
          <w:b w:val="0"/>
          <w:bCs w:val="0"/>
          <w:color w:val="000000" w:themeColor="text1"/>
          <w:sz w:val="32"/>
          <w:szCs w:val="32"/>
          <w:shd w:val="clear" w:color="auto" w:fill="FFFFFF"/>
          <w:lang w:val="en-US" w:eastAsia="zh-CN"/>
          <w14:textFill>
            <w14:solidFill>
              <w14:schemeClr w14:val="tx1"/>
            </w14:solidFill>
          </w14:textFill>
        </w:rPr>
        <w:t>（四）流通方案</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pPr>
        <w:pStyle w:val="4"/>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仿宋_GBK" w:cs="Times New Roman"/>
          <w:b w:val="0"/>
          <w:bCs w:val="0"/>
          <w:sz w:val="32"/>
          <w:szCs w:val="32"/>
          <w:lang w:val="en-US" w:eastAsia="zh-CN"/>
        </w:rPr>
      </w:pPr>
      <w:bookmarkStart w:id="50" w:name="_Toc30341"/>
      <w:bookmarkStart w:id="51" w:name="_Toc32092"/>
      <w:bookmarkStart w:id="52" w:name="_Toc7598"/>
      <w:r>
        <w:rPr>
          <w:rFonts w:hint="default" w:ascii="Times New Roman" w:hAnsi="Times New Roman" w:eastAsia="方正仿宋_GBK" w:cs="Times New Roman"/>
          <w:b w:val="0"/>
          <w:bCs w:val="0"/>
          <w:sz w:val="32"/>
          <w:szCs w:val="32"/>
          <w:lang w:val="en-US" w:eastAsia="zh-CN"/>
        </w:rPr>
        <w:t>1.整合本地商贸流通网络</w:t>
      </w:r>
      <w:bookmarkEnd w:id="50"/>
      <w:bookmarkEnd w:id="51"/>
      <w:bookmarkEnd w:id="52"/>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shd w:val="clear" w:color="auto" w:fill="FFFFFF"/>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shd w:val="clear" w:color="auto" w:fill="FFFFFF"/>
          <w:lang w:val="en-US" w:eastAsia="zh-CN"/>
          <w14:textFill>
            <w14:solidFill>
              <w14:schemeClr w14:val="tx1"/>
            </w14:solidFill>
          </w14:textFill>
        </w:rPr>
        <w:t>物流业是支撑国民经济发展的基础性、战略性、先导性产业。近年来，我国大力发展城乡配送体系，聚焦城乡间物流业不平衡的现状，推动城市配送中心中转工业品“下行”至农村、农村农产品“上行”至城市的双向平衡发展。</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190500</wp:posOffset>
            </wp:positionH>
            <wp:positionV relativeFrom="paragraph">
              <wp:posOffset>20320</wp:posOffset>
            </wp:positionV>
            <wp:extent cx="5048885" cy="2432685"/>
            <wp:effectExtent l="0" t="0" r="10795" b="5715"/>
            <wp:wrapTopAndBottom/>
            <wp:docPr id="1175" name="图片 1175" descr="1643040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图片 1175" descr="1643040483(1)"/>
                    <pic:cNvPicPr>
                      <a:picLocks noChangeAspect="1"/>
                    </pic:cNvPicPr>
                  </pic:nvPicPr>
                  <pic:blipFill>
                    <a:blip r:embed="rId20"/>
                    <a:stretch>
                      <a:fillRect/>
                    </a:stretch>
                  </pic:blipFill>
                  <pic:spPr>
                    <a:xfrm>
                      <a:off x="0" y="0"/>
                      <a:ext cx="5048885" cy="2432685"/>
                    </a:xfrm>
                    <a:prstGeom prst="rect">
                      <a:avLst/>
                    </a:prstGeom>
                  </pic:spPr>
                </pic:pic>
              </a:graphicData>
            </a:graphic>
          </wp:anchor>
        </w:drawing>
      </w:r>
      <w:r>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了解当地消费市场：通过电商服务人员到各乡、村实际走访调研，了解当地用户的年龄、消费水平、消费习惯，形成新平县的消费群体调研报告。</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调研本地工业品生产企业：对工业品生产企业的现状、规模、产品销售现存渠道进行摸底，切实了解企业现状和长期发展愿景。</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pPr>
      <w:r>
        <w:rPr>
          <w:rFonts w:hint="eastAsia" w:ascii="仿宋" w:hAnsi="仿宋" w:cs="仿宋"/>
          <w:color w:val="000000" w:themeColor="text1"/>
          <w:sz w:val="32"/>
          <w:szCs w:val="32"/>
          <w:shd w:val="clear" w:color="auto" w:fill="FFFFFF"/>
          <w:lang w:val="en-US"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398780</wp:posOffset>
            </wp:positionH>
            <wp:positionV relativeFrom="paragraph">
              <wp:posOffset>63500</wp:posOffset>
            </wp:positionV>
            <wp:extent cx="4818380" cy="2324735"/>
            <wp:effectExtent l="0" t="0" r="12700" b="6985"/>
            <wp:wrapTopAndBottom/>
            <wp:docPr id="1176" name="图片 1176" descr="1643040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图片 1176" descr="1643040551(1)"/>
                    <pic:cNvPicPr>
                      <a:picLocks noChangeAspect="1"/>
                    </pic:cNvPicPr>
                  </pic:nvPicPr>
                  <pic:blipFill>
                    <a:blip r:embed="rId21"/>
                    <a:stretch>
                      <a:fillRect/>
                    </a:stretch>
                  </pic:blipFill>
                  <pic:spPr>
                    <a:xfrm>
                      <a:off x="0" y="0"/>
                      <a:ext cx="4818380" cy="2324735"/>
                    </a:xfrm>
                    <a:prstGeom prst="rect">
                      <a:avLst/>
                    </a:prstGeom>
                  </pic:spPr>
                </pic:pic>
              </a:graphicData>
            </a:graphic>
          </wp:anchor>
        </w:drawing>
      </w:r>
      <w:r>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智能化管理提效率创增收：下行仓使用的物流仓库管理系统是通过入库业务、出库业务、仓库调拨、库存调拨和虚仓管理等功能，综合批次管理、物料对应、库存盘点、质检管理、虚仓管理和即时库存管理等功能综合运用的管理系统，有效控制并跟踪仓库业务的物流和成本管理全过程，实现完善的企业仓储信息管理。物流仓库管理系统可以独立执行库存操作，与其他系统的单据和凭证等结合使用，可提供更为完整全面的企业业务流程和财务管理信息。</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完善三级配送物流网络功能：整合或引入社会资本在农村地区建设冷链物流、分级包装等物流仓储基础设施。完善农村商贸流通基础设施建设，加强与邮政、银行、电商企业合作，推动农村传统零售网点的改造升级，拓展农村市场的小额信贷服务。完善农村商贸的供应链体系，加快供应链上下游企业的数字化改造，进而将优质的工业产品以更低的成本和更高的效率送达农村消费者手中。</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结合电商大数据和实际操盘经验，对本地工业品生产企业在企业文化、组织架构、销售体系、互联网营销等方面提供转型互联网企业的建议并协助实施。</w:t>
      </w:r>
    </w:p>
    <w:p>
      <w:pPr>
        <w:pStyle w:val="4"/>
        <w:keepNext/>
        <w:keepLines/>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left"/>
        <w:textAlignment w:val="auto"/>
        <w:outlineLvl w:val="9"/>
        <w:rPr>
          <w:rFonts w:hint="eastAsia" w:ascii="楷体" w:hAnsi="楷体" w:eastAsia="楷体" w:cs="楷体"/>
          <w:b/>
          <w:bCs/>
          <w:sz w:val="32"/>
          <w:szCs w:val="32"/>
          <w:lang w:val="en-US" w:eastAsia="zh-CN"/>
        </w:rPr>
      </w:pPr>
      <w:bookmarkStart w:id="53" w:name="_Toc4246"/>
      <w:bookmarkStart w:id="54" w:name="_Toc4265"/>
      <w:bookmarkStart w:id="55" w:name="_Toc7268"/>
      <w:r>
        <w:rPr>
          <w:rFonts w:hint="eastAsia" w:ascii="楷体" w:hAnsi="楷体" w:eastAsia="楷体" w:cs="楷体"/>
          <w:b/>
          <w:bCs/>
          <w:sz w:val="32"/>
          <w:szCs w:val="32"/>
          <w:lang w:val="en-US" w:eastAsia="zh-CN"/>
        </w:rPr>
        <w:drawing>
          <wp:inline distT="0" distB="0" distL="114300" distR="114300">
            <wp:extent cx="5255260" cy="2592705"/>
            <wp:effectExtent l="106045" t="79375" r="125095" b="96520"/>
            <wp:docPr id="1177" name="图片 1177" descr="1643040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图片 1177" descr="1643040861(1)"/>
                    <pic:cNvPicPr>
                      <a:picLocks noChangeAspect="1"/>
                    </pic:cNvPicPr>
                  </pic:nvPicPr>
                  <pic:blipFill>
                    <a:blip r:embed="rId22"/>
                    <a:srcRect r="337" b="826"/>
                    <a:stretch>
                      <a:fillRect/>
                    </a:stretch>
                  </pic:blipFill>
                  <pic:spPr>
                    <a:xfrm>
                      <a:off x="0" y="0"/>
                      <a:ext cx="5255260" cy="2592705"/>
                    </a:xfrm>
                    <a:prstGeom prst="roundRect">
                      <a:avLst/>
                    </a:prstGeom>
                    <a:effectLst>
                      <a:outerShdw blurRad="63500" sx="102000" sy="102000" algn="ctr" rotWithShape="0">
                        <a:prstClr val="black">
                          <a:alpha val="40000"/>
                        </a:prstClr>
                      </a:outerShdw>
                    </a:effectLst>
                  </pic:spPr>
                </pic:pic>
              </a:graphicData>
            </a:graphic>
          </wp:inline>
        </w:drawing>
      </w:r>
      <w:bookmarkEnd w:id="53"/>
      <w:bookmarkEnd w:id="54"/>
      <w:bookmarkStart w:id="56" w:name="_Toc5857"/>
    </w:p>
    <w:p>
      <w:pPr>
        <w:pStyle w:val="4"/>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仿宋_GBK" w:cs="Times New Roman"/>
          <w:b w:val="0"/>
          <w:bCs w:val="0"/>
          <w:sz w:val="32"/>
          <w:szCs w:val="32"/>
          <w:lang w:val="en-US" w:eastAsia="zh-CN"/>
        </w:rPr>
      </w:pPr>
      <w:bookmarkStart w:id="57" w:name="_Toc16631"/>
      <w:r>
        <w:rPr>
          <w:rFonts w:hint="default" w:ascii="Times New Roman" w:hAnsi="Times New Roman" w:eastAsia="方正仿宋_GBK" w:cs="Times New Roman"/>
          <w:b w:val="0"/>
          <w:bCs w:val="0"/>
          <w:sz w:val="32"/>
          <w:szCs w:val="32"/>
          <w:lang w:val="en-US" w:eastAsia="zh-CN"/>
        </w:rPr>
        <w:t>2.构建直供直销服务体系</w:t>
      </w:r>
      <w:bookmarkEnd w:id="55"/>
      <w:bookmarkEnd w:id="56"/>
      <w:bookmarkEnd w:id="57"/>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default" w:ascii="Times New Roman" w:hAnsi="Times New Roman" w:eastAsia="方正仿宋_GBK" w:cs="Times New Roman"/>
          <w:b w:val="0"/>
          <w:bCs w:val="0"/>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32"/>
          <w:szCs w:val="32"/>
          <w:shd w:val="clear" w:color="auto" w:fill="FFFFFF"/>
          <w:lang w:val="en-US" w:eastAsia="zh-CN"/>
          <w14:textFill>
            <w14:solidFill>
              <w14:schemeClr w14:val="tx1"/>
            </w14:solidFill>
          </w14:textFill>
        </w:rPr>
        <w:t>调研本地零售市场流通企业（代理商、批发商、规模零售商），对商品供应端进行细致摸底，针对新平县消费特点，形成供应端建议方案。对乡村服务站进行分类，针对超市、杂货店类型的服务站开展集中采购、统一配送业务，降低此类服务站的采购成本。</w:t>
      </w:r>
    </w:p>
    <w:p>
      <w:pPr>
        <w:keepNext w:val="0"/>
        <w:keepLines w:val="0"/>
        <w:pageBreakBefore w:val="0"/>
        <w:kinsoku/>
        <w:overflowPunct/>
        <w:topLinePunct w:val="0"/>
        <w:autoSpaceDE/>
        <w:autoSpaceDN/>
        <w:bidi w:val="0"/>
        <w:adjustRightInd/>
        <w:snapToGrid/>
        <w:spacing w:beforeAutospacing="0" w:afterAutospacing="0" w:line="240" w:lineRule="auto"/>
        <w:ind w:left="0" w:leftChars="0" w:right="0" w:rightChars="0" w:firstLine="480" w:firstLineChars="200"/>
        <w:jc w:val="left"/>
        <w:textAlignment w:val="auto"/>
        <w:rPr>
          <w:rFonts w:hint="eastAsia" w:ascii="宋体" w:hAnsi="宋体" w:eastAsia="宋体" w:cs="宋体"/>
          <w:sz w:val="28"/>
          <w:szCs w:val="28"/>
        </w:rPr>
      </w:pPr>
      <w:r>
        <w:rPr>
          <w:rFonts w:hint="eastAsia"/>
        </w:rPr>
        <w:drawing>
          <wp:inline distT="0" distB="0" distL="114300" distR="114300">
            <wp:extent cx="5053965" cy="3557905"/>
            <wp:effectExtent l="104140" t="88900" r="125095" b="112395"/>
            <wp:docPr id="463" name="图片 7" descr="1556507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7" descr="1556507905(1)"/>
                    <pic:cNvPicPr>
                      <a:picLocks noChangeAspect="1"/>
                    </pic:cNvPicPr>
                  </pic:nvPicPr>
                  <pic:blipFill>
                    <a:blip r:embed="rId23"/>
                    <a:stretch>
                      <a:fillRect/>
                    </a:stretch>
                  </pic:blipFill>
                  <pic:spPr>
                    <a:xfrm>
                      <a:off x="0" y="0"/>
                      <a:ext cx="5053965" cy="3557905"/>
                    </a:xfrm>
                    <a:prstGeom prst="roundRect">
                      <a:avLst/>
                    </a:prstGeom>
                    <a:noFill/>
                    <a:ln>
                      <a:noFill/>
                    </a:ln>
                    <a:effectLst>
                      <a:outerShdw blurRad="63500" sx="102000" sy="102000" algn="ctr" rotWithShape="0">
                        <a:prstClr val="black">
                          <a:alpha val="40000"/>
                        </a:prstClr>
                      </a:outerShdw>
                    </a:effectLst>
                  </pic:spPr>
                </pic:pic>
              </a:graphicData>
            </a:graphic>
          </wp:inline>
        </w:drawing>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提供活动组织策划支持：针对新平本地企业，可以协助企业进行商标注册、品牌活动策划等。</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建立下行商品展示体验店：方便村镇站点和农村超市参观学习和挑选商品。</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我公司按照“政府引导、企业主体、市场运作、合作共赢”的原则，针对老百姓急需的生活用品，主动联系优质货源，充分利用“工业消费品订货系统”，搭建综合型区域电子商务公共服务体系，全力推动消费潜力转变为推动乡村振兴的不竭动力。</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我们会在了解服务站点需求后，积极对接上游资源，帮助乡村级服务站点的站长进货、解决服务站取货的人力、物力、资金成本等问题，贯通农产品上行及工业品下行双向沟通渠道。同时，加强与服务站点的直面沟通交流，提高沟通效率，减少冗余的中间环节，解决服务站点进货难等问题，让城市的良品下乡，节约老百姓的生活成本，帮助城市工业品打通进山入村开辟崭新销售领域，实现城乡真正意义上产业链的交互输送，给农民以“销售的渠道”，让广大消费者获得“有品质保障”的产品，促进农村电子商务发展，助力畅通国内大循环。</w:t>
      </w:r>
    </w:p>
    <w:p>
      <w:pPr>
        <w:pageBreakBefore w:val="0"/>
        <w:kinsoku/>
        <w:overflowPunct/>
        <w:topLinePunct w:val="0"/>
        <w:bidi w:val="0"/>
        <w:spacing w:beforeAutospacing="0" w:afterAutospacing="0" w:line="240" w:lineRule="auto"/>
        <w:ind w:left="0" w:leftChars="0" w:right="0" w:rightChars="0"/>
        <w:jc w:val="left"/>
        <w:rPr>
          <w:rFonts w:hint="eastAsia"/>
          <w:lang w:val="en-US" w:eastAsia="zh-CN"/>
        </w:rPr>
      </w:pPr>
      <w:r>
        <w:drawing>
          <wp:inline distT="0" distB="0" distL="114300" distR="114300">
            <wp:extent cx="5376545" cy="3516630"/>
            <wp:effectExtent l="107315" t="88900" r="129540" b="102870"/>
            <wp:docPr id="4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11"/>
                    <pic:cNvPicPr>
                      <a:picLocks noChangeAspect="1"/>
                    </pic:cNvPicPr>
                  </pic:nvPicPr>
                  <pic:blipFill>
                    <a:blip r:embed="rId24"/>
                    <a:stretch>
                      <a:fillRect/>
                    </a:stretch>
                  </pic:blipFill>
                  <pic:spPr>
                    <a:xfrm>
                      <a:off x="0" y="0"/>
                      <a:ext cx="5376545" cy="351663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left"/>
        <w:textAlignment w:val="auto"/>
        <w:rPr>
          <w:rFonts w:hint="default" w:ascii="Times New Roman" w:hAnsi="Times New Roman" w:eastAsia="方正仿宋_GBK" w:cs="Times New Roman"/>
          <w:b w:val="0"/>
          <w:bCs w:val="0"/>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32"/>
          <w:szCs w:val="32"/>
          <w:shd w:val="clear" w:color="auto" w:fill="FFFFFF"/>
          <w:lang w:val="en-US" w:eastAsia="zh-CN"/>
          <w14:textFill>
            <w14:solidFill>
              <w14:schemeClr w14:val="tx1"/>
            </w14:solidFill>
          </w14:textFill>
        </w:rPr>
        <w:t>经过前期市场考察和多渠道调研，走访了解电商服务站点的进货需求，并直接对接工业品生产厂家，逐步实现“厂家—电商服务站”的供货模式，提升公共服务中心对服务站点服务质量和服务效率，释放农村消费潜力和投资潜力，促进了农民增收、企业增效、产业增值。</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left"/>
        <w:textAlignment w:val="auto"/>
        <w:rPr>
          <w:rFonts w:hint="default" w:ascii="Times New Roman" w:hAnsi="Times New Roman" w:eastAsia="方正仿宋_GBK" w:cs="Times New Roman"/>
          <w:b w:val="0"/>
          <w:bCs w:val="0"/>
          <w:sz w:val="32"/>
          <w:szCs w:val="32"/>
          <w:lang w:val="en-US" w:eastAsia="zh-CN"/>
        </w:rPr>
      </w:pPr>
      <w:bookmarkStart w:id="58" w:name="_Toc4658"/>
      <w:bookmarkStart w:id="59" w:name="_Toc23875"/>
      <w:bookmarkStart w:id="60" w:name="_Toc7119"/>
      <w:r>
        <w:rPr>
          <w:rFonts w:hint="default" w:ascii="Times New Roman" w:hAnsi="Times New Roman" w:eastAsia="方正仿宋_GBK" w:cs="Times New Roman"/>
          <w:b w:val="0"/>
          <w:bCs w:val="0"/>
          <w:sz w:val="32"/>
          <w:szCs w:val="32"/>
          <w:lang w:val="en-US" w:eastAsia="zh-CN"/>
        </w:rPr>
        <w:t>3.开展各类消费活动</w:t>
      </w:r>
      <w:bookmarkEnd w:id="58"/>
      <w:bookmarkEnd w:id="59"/>
      <w:bookmarkEnd w:id="60"/>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left"/>
        <w:textAlignment w:val="auto"/>
        <w:rPr>
          <w:rFonts w:hint="default" w:ascii="Times New Roman" w:hAnsi="Times New Roman" w:eastAsia="方正仿宋_GBK" w:cs="Times New Roman"/>
          <w:b w:val="0"/>
          <w:bCs w:val="0"/>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32"/>
          <w:szCs w:val="32"/>
          <w:shd w:val="clear" w:color="auto" w:fill="FFFFFF"/>
          <w:lang w:val="en-US" w:eastAsia="zh-CN"/>
          <w14:textFill>
            <w14:solidFill>
              <w14:schemeClr w14:val="tx1"/>
            </w14:solidFill>
          </w14:textFill>
        </w:rPr>
        <w:t>通过引入社区团购、分销等新型互联网销售模式，联合本地/外部优质供应商组织工业品下行推广活动，通过视频直播、现场特卖、网络秒杀等形式，努力做到线上线下联动，成当地的促销节日，为百姓省钱，提升消费者口碑。</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工作内容表</w:t>
      </w:r>
    </w:p>
    <w:tbl>
      <w:tblPr>
        <w:tblStyle w:val="17"/>
        <w:tblpPr w:leftFromText="180" w:rightFromText="180" w:vertAnchor="text" w:horzAnchor="page" w:tblpX="1973" w:tblpY="617"/>
        <w:tblOverlap w:val="never"/>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714"/>
        <w:gridCol w:w="5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1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jc w:val="left"/>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序号</w:t>
            </w:r>
          </w:p>
        </w:tc>
        <w:tc>
          <w:tcPr>
            <w:tcW w:w="171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jc w:val="left"/>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项目内容</w:t>
            </w:r>
          </w:p>
        </w:tc>
        <w:tc>
          <w:tcPr>
            <w:tcW w:w="542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jc w:val="left"/>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19"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jc w:val="left"/>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1</w:t>
            </w:r>
          </w:p>
        </w:tc>
        <w:tc>
          <w:tcPr>
            <w:tcW w:w="1714"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jc w:val="left"/>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市场调研</w:t>
            </w:r>
          </w:p>
        </w:tc>
        <w:tc>
          <w:tcPr>
            <w:tcW w:w="542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调研当地乡村的消费习惯、消费能力、年龄性别比例等基本情况，形成调研报告，为后续的商品选品和促销活动安排提供依据。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19"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590" w:lineRule="exact"/>
              <w:ind w:left="0" w:leftChars="0" w:right="0" w:rightChars="0"/>
              <w:jc w:val="left"/>
              <w:rPr>
                <w:rFonts w:hint="eastAsia" w:ascii="宋体" w:hAnsi="宋体" w:eastAsia="宋体" w:cs="宋体"/>
                <w:b/>
                <w:bCs/>
                <w:color w:val="000000"/>
                <w:sz w:val="24"/>
                <w:szCs w:val="24"/>
              </w:rPr>
            </w:pPr>
          </w:p>
        </w:tc>
        <w:tc>
          <w:tcPr>
            <w:tcW w:w="1714"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590" w:lineRule="exact"/>
              <w:ind w:left="0" w:leftChars="0" w:right="0" w:rightChars="0"/>
              <w:jc w:val="left"/>
              <w:rPr>
                <w:rFonts w:hint="eastAsia" w:ascii="宋体" w:hAnsi="宋体" w:eastAsia="宋体" w:cs="宋体"/>
                <w:b/>
                <w:bCs/>
                <w:color w:val="000000"/>
                <w:sz w:val="24"/>
                <w:szCs w:val="24"/>
              </w:rPr>
            </w:pPr>
          </w:p>
        </w:tc>
        <w:tc>
          <w:tcPr>
            <w:tcW w:w="542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调研本地工业品生产商和批发商、零售商，切实了解企业现状和长期发展愿景，形成本地化连锁化经营和营销体系建设的供应端建议方案。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019" w:type="dxa"/>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590" w:lineRule="exact"/>
              <w:ind w:left="0" w:leftChars="0" w:right="0" w:rightChars="0"/>
              <w:jc w:val="left"/>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w:t>
            </w:r>
          </w:p>
        </w:tc>
        <w:tc>
          <w:tcPr>
            <w:tcW w:w="1714" w:type="dxa"/>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590" w:lineRule="exact"/>
              <w:ind w:left="0" w:leftChars="0" w:right="0" w:rightChars="0"/>
              <w:jc w:val="left"/>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整合本地商贸流通网络</w:t>
            </w:r>
          </w:p>
        </w:tc>
        <w:tc>
          <w:tcPr>
            <w:tcW w:w="542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针对当地传统生产型企业的实际情况和发展愿景，在企业文化、组织架构、销售体系、互联网营销等方面提供转型互联网企业的建议并协助实施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019" w:type="dxa"/>
            <w:vMerge w:val="restart"/>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590" w:lineRule="exact"/>
              <w:ind w:left="0" w:leftChars="0" w:right="0" w:rightChars="0"/>
              <w:jc w:val="left"/>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w:t>
            </w:r>
          </w:p>
        </w:tc>
        <w:tc>
          <w:tcPr>
            <w:tcW w:w="1714" w:type="dxa"/>
            <w:vMerge w:val="restart"/>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590" w:lineRule="exact"/>
              <w:ind w:left="0" w:leftChars="0" w:right="0" w:rightChars="0"/>
              <w:jc w:val="left"/>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构建直供直销服务体系</w:t>
            </w:r>
          </w:p>
        </w:tc>
        <w:tc>
          <w:tcPr>
            <w:tcW w:w="542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梳理激活镇村服务站点，力争对镇村服务站点或农村超市开展集中采购、统一配送、直供业务，降低服务站点或农村超市单独采购的成本，释放镇村消费潜力，拉动消费活力，促进消费升级。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019"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590" w:lineRule="exact"/>
              <w:ind w:left="0" w:leftChars="0" w:right="0" w:rightChars="0"/>
              <w:jc w:val="left"/>
              <w:rPr>
                <w:rFonts w:hint="eastAsia" w:ascii="宋体" w:hAnsi="宋体" w:eastAsia="宋体" w:cs="宋体"/>
                <w:b/>
                <w:bCs/>
                <w:color w:val="000000"/>
                <w:sz w:val="24"/>
                <w:szCs w:val="24"/>
              </w:rPr>
            </w:pPr>
          </w:p>
        </w:tc>
        <w:tc>
          <w:tcPr>
            <w:tcW w:w="1714"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590" w:lineRule="exact"/>
              <w:ind w:left="0" w:leftChars="0" w:right="0" w:rightChars="0"/>
              <w:jc w:val="left"/>
              <w:rPr>
                <w:rFonts w:hint="eastAsia" w:ascii="宋体" w:hAnsi="宋体" w:eastAsia="宋体" w:cs="宋体"/>
                <w:b/>
                <w:bCs/>
                <w:color w:val="000000"/>
                <w:sz w:val="24"/>
                <w:szCs w:val="24"/>
              </w:rPr>
            </w:pPr>
          </w:p>
        </w:tc>
        <w:tc>
          <w:tcPr>
            <w:tcW w:w="542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建立下行商品展示体验店，方便村镇站点和农村超市参观学习和挑选商品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019" w:type="dxa"/>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590" w:lineRule="exact"/>
              <w:ind w:left="0" w:leftChars="0" w:right="0" w:rightChars="0"/>
              <w:jc w:val="left"/>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4</w:t>
            </w:r>
          </w:p>
        </w:tc>
        <w:tc>
          <w:tcPr>
            <w:tcW w:w="1714" w:type="dxa"/>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590" w:lineRule="exact"/>
              <w:ind w:left="0" w:leftChars="0" w:right="0" w:rightChars="0"/>
              <w:jc w:val="left"/>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开展各类消费活动</w:t>
            </w:r>
          </w:p>
        </w:tc>
        <w:tc>
          <w:tcPr>
            <w:tcW w:w="542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通过引入社区团购、分销等新型互联网销售模式，联合本地/外部优质供应商组织工业品下行推广活动，通过视频直播、现场特卖、网络秒杀等形式，努力做到线上线下联动，成当地的促销节日，为百姓省钱，提升消费者口碑</w:t>
            </w:r>
          </w:p>
        </w:tc>
      </w:tr>
    </w:tbl>
    <w:p>
      <w:pPr>
        <w:pageBreakBefore w:val="0"/>
        <w:kinsoku/>
        <w:overflowPunct/>
        <w:topLinePunct w:val="0"/>
        <w:bidi w:val="0"/>
        <w:spacing w:beforeAutospacing="0" w:afterAutospacing="0" w:line="240" w:lineRule="auto"/>
        <w:ind w:left="0" w:leftChars="0" w:right="0" w:rightChars="0"/>
        <w:jc w:val="left"/>
        <w:rPr>
          <w:rFonts w:hint="eastAsia" w:ascii="宋体" w:hAnsi="宋体" w:eastAsia="宋体" w:cs="宋体"/>
          <w:sz w:val="32"/>
          <w:szCs w:val="32"/>
        </w:rPr>
      </w:pP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shd w:val="clear" w:color="auto" w:fill="FFFFFF"/>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shd w:val="clear" w:color="auto" w:fill="FFFFFF"/>
          <w:lang w:val="en-US" w:eastAsia="zh-CN"/>
          <w14:textFill>
            <w14:solidFill>
              <w14:schemeClr w14:val="tx1"/>
            </w14:solidFill>
          </w14:textFill>
        </w:rPr>
        <w:t>通过协调多方资源，可助力于新平县为电子商务相对落后的老百姓带来了购物、售货、资讯等多方面的服务，同时激发商品增量供给的积极性，解决商品供需矛盾。</w:t>
      </w:r>
    </w:p>
    <w:p>
      <w:pPr>
        <w:pStyle w:val="3"/>
        <w:keepNext/>
        <w:keepLines/>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outlineLvl w:val="1"/>
        <w:rPr>
          <w:rFonts w:hint="eastAsia" w:ascii="方正黑体_GBK" w:hAnsi="方正黑体_GBK" w:eastAsia="方正黑体_GBK" w:cs="方正黑体_GBK"/>
          <w:b w:val="0"/>
          <w:bCs/>
          <w:sz w:val="32"/>
          <w:szCs w:val="52"/>
          <w:lang w:val="en-US" w:eastAsia="zh-CN"/>
        </w:rPr>
      </w:pPr>
      <w:bookmarkStart w:id="61" w:name="_Toc7362"/>
      <w:bookmarkStart w:id="62" w:name="_Toc20522"/>
      <w:bookmarkStart w:id="63" w:name="_Toc16149"/>
      <w:r>
        <w:rPr>
          <w:rFonts w:hint="eastAsia" w:ascii="方正黑体_GBK" w:hAnsi="方正黑体_GBK" w:eastAsia="方正黑体_GBK" w:cs="方正黑体_GBK"/>
          <w:b w:val="0"/>
          <w:bCs/>
          <w:sz w:val="32"/>
          <w:szCs w:val="52"/>
          <w:lang w:val="en-US" w:eastAsia="zh-CN"/>
        </w:rPr>
        <w:t>六、依托物流配送，盘活商贸流通</w:t>
      </w:r>
      <w:bookmarkEnd w:id="61"/>
      <w:bookmarkEnd w:id="62"/>
      <w:bookmarkEnd w:id="63"/>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鼓励流通企业通过兼并、特许经营等方式，扩大连锁经营规模，提高经营管理水平。支持实体店通过互联网展示、销售商品和服务，提升线下体验、配送和售后等服务，发展体验消费。引导各类批发市场自建网络交易平台或利用第三方电子商务平台开展网上经营，推动实体市场与网络市场协同发展。转变物流业发展方式，大力发展第三方物流和智慧物流，提高物流社会化、标准化、信息化、专业化水平。</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以电子商务进农村综合示范项目为契机，通过服务中心对接优质资源，为乡村电商服务站下沉服务和产品链条，构建县域营销服务体系，逐步盘活区域商贸流通市场。</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outlineLvl w:val="2"/>
        <w:rPr>
          <w:rFonts w:hint="eastAsia" w:ascii="方正楷体_GBK" w:hAnsi="方正楷体_GBK" w:eastAsia="方正楷体_GBK" w:cs="方正楷体_GBK"/>
          <w:b w:val="0"/>
          <w:bCs w:val="0"/>
          <w:color w:val="000000" w:themeColor="text1"/>
          <w:sz w:val="32"/>
          <w:szCs w:val="32"/>
          <w:shd w:val="clear" w:color="auto" w:fill="FFFFFF"/>
          <w:lang w:val="en-US" w:eastAsia="zh-CN"/>
          <w14:textFill>
            <w14:solidFill>
              <w14:schemeClr w14:val="tx1"/>
            </w14:solidFill>
          </w14:textFill>
        </w:rPr>
      </w:pPr>
      <w:bookmarkStart w:id="64" w:name="_Toc23039"/>
      <w:bookmarkStart w:id="65" w:name="_Toc3042"/>
      <w:r>
        <w:rPr>
          <w:rFonts w:hint="eastAsia" w:ascii="方正楷体_GBK" w:hAnsi="方正楷体_GBK" w:eastAsia="方正楷体_GBK" w:cs="方正楷体_GBK"/>
          <w:b w:val="0"/>
          <w:bCs w:val="0"/>
          <w:color w:val="000000" w:themeColor="text1"/>
          <w:sz w:val="32"/>
          <w:szCs w:val="32"/>
          <w:shd w:val="clear" w:color="auto" w:fill="FFFFFF"/>
          <w:lang w:val="en-US" w:eastAsia="zh-CN"/>
          <w14:textFill>
            <w14:solidFill>
              <w14:schemeClr w14:val="tx1"/>
            </w14:solidFill>
          </w14:textFill>
        </w:rPr>
        <w:t>（一）常用服务路径</w:t>
      </w:r>
      <w:bookmarkEnd w:id="64"/>
      <w:bookmarkEnd w:id="65"/>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eastAsia" w:ascii="仿宋" w:hAnsi="仿宋" w:cs="仿宋"/>
          <w:color w:val="000000" w:themeColor="text1"/>
          <w:sz w:val="32"/>
          <w:szCs w:val="32"/>
          <w:shd w:val="clear" w:color="auto" w:fill="FFFFFF"/>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shd w:val="clear" w:color="auto" w:fill="FFFFFF"/>
          <w:lang w:val="en-US" w:eastAsia="zh-CN"/>
          <w14:textFill>
            <w14:solidFill>
              <w14:schemeClr w14:val="tx1"/>
            </w14:solidFill>
          </w14:textFill>
        </w:rPr>
        <w:t>服务中心主动对接优质资源（服务或农村刚需商品），通过线上订货系统和自建县乡村三级物流配送体系直接为乡村站点及下辖农村居民提供服务或刚需商品，实现网络商品下行。</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outlineLvl w:val="2"/>
        <w:rPr>
          <w:rFonts w:hint="eastAsia" w:ascii="方正楷体_GBK" w:hAnsi="方正楷体_GBK" w:eastAsia="方正楷体_GBK" w:cs="方正楷体_GBK"/>
          <w:b w:val="0"/>
          <w:bCs w:val="0"/>
          <w:color w:val="000000" w:themeColor="text1"/>
          <w:sz w:val="32"/>
          <w:szCs w:val="32"/>
          <w:shd w:val="clear" w:color="auto" w:fill="FFFFFF"/>
          <w:lang w:val="en-US" w:eastAsia="zh-CN"/>
          <w14:textFill>
            <w14:solidFill>
              <w14:schemeClr w14:val="tx1"/>
            </w14:solidFill>
          </w14:textFill>
        </w:rPr>
      </w:pPr>
      <w:bookmarkStart w:id="66" w:name="_Toc6166"/>
      <w:bookmarkStart w:id="67" w:name="_Toc3809"/>
      <w:bookmarkStart w:id="68" w:name="_Toc32526"/>
      <w:r>
        <w:rPr>
          <w:rFonts w:hint="eastAsia" w:ascii="方正仿宋_GBK" w:hAnsi="方正仿宋_GBK" w:eastAsia="方正仿宋_GBK" w:cs="方正仿宋_GBK"/>
          <w:color w:val="000000" w:themeColor="text1"/>
          <w:sz w:val="32"/>
          <w:szCs w:val="32"/>
          <w:shd w:val="clear" w:color="auto" w:fill="FFFFFF"/>
          <w:lang w:val="en-US"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-5715</wp:posOffset>
            </wp:positionH>
            <wp:positionV relativeFrom="paragraph">
              <wp:posOffset>175895</wp:posOffset>
            </wp:positionV>
            <wp:extent cx="5263515" cy="2647950"/>
            <wp:effectExtent l="106045" t="80010" r="116840" b="91440"/>
            <wp:wrapTopAndBottom/>
            <wp:docPr id="1178" name="图片 1178" descr="1620016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图片 1178" descr="1620016199(1)"/>
                    <pic:cNvPicPr>
                      <a:picLocks noChangeAspect="1"/>
                    </pic:cNvPicPr>
                  </pic:nvPicPr>
                  <pic:blipFill>
                    <a:blip r:embed="rId25"/>
                    <a:stretch>
                      <a:fillRect/>
                    </a:stretch>
                  </pic:blipFill>
                  <pic:spPr>
                    <a:xfrm>
                      <a:off x="0" y="0"/>
                      <a:ext cx="5263515" cy="2647950"/>
                    </a:xfrm>
                    <a:prstGeom prst="roundRect">
                      <a:avLst/>
                    </a:prstGeom>
                    <a:effectLst>
                      <a:outerShdw blurRad="63500" sx="102000" sy="102000" algn="ctr" rotWithShape="0">
                        <a:prstClr val="black">
                          <a:alpha val="40000"/>
                        </a:prstClr>
                      </a:outerShdw>
                    </a:effectLst>
                  </pic:spPr>
                </pic:pic>
              </a:graphicData>
            </a:graphic>
          </wp:anchor>
        </w:drawing>
      </w:r>
      <w:r>
        <w:rPr>
          <w:rFonts w:hint="eastAsia" w:ascii="方正楷体_GBK" w:hAnsi="方正楷体_GBK" w:eastAsia="方正楷体_GBK" w:cs="方正楷体_GBK"/>
          <w:b w:val="0"/>
          <w:bCs w:val="0"/>
          <w:color w:val="000000" w:themeColor="text1"/>
          <w:sz w:val="32"/>
          <w:szCs w:val="32"/>
          <w:shd w:val="clear" w:color="auto" w:fill="FFFFFF"/>
          <w:lang w:val="en-US" w:eastAsia="zh-CN"/>
          <w14:textFill>
            <w14:solidFill>
              <w14:schemeClr w14:val="tx1"/>
            </w14:solidFill>
          </w14:textFill>
        </w:rPr>
        <w:t>（二）“倒众筹”服务路径</w:t>
      </w:r>
      <w:bookmarkEnd w:id="66"/>
      <w:bookmarkEnd w:id="67"/>
      <w:bookmarkEnd w:id="68"/>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560" w:firstLineChars="200"/>
        <w:jc w:val="both"/>
        <w:textAlignment w:val="auto"/>
        <w:rPr>
          <w:rFonts w:hint="default" w:ascii="黑体" w:hAnsi="黑体" w:eastAsia="黑体" w:cs="黑体"/>
          <w:color w:val="000000" w:themeColor="text1"/>
          <w:sz w:val="32"/>
          <w:szCs w:val="32"/>
          <w:shd w:val="clear" w:color="auto" w:fill="FFFFFF"/>
          <w:lang w:val="en-US" w:eastAsia="zh-CN"/>
          <w14:textFill>
            <w14:solidFill>
              <w14:schemeClr w14:val="tx1"/>
            </w14:solidFill>
          </w14:textFill>
        </w:rPr>
      </w:pPr>
      <w:r>
        <w:rPr>
          <w:rFonts w:hint="eastAsia" w:ascii="宋体" w:hAnsi="宋体" w:eastAsia="宋体" w:cs="宋体"/>
          <w:sz w:val="28"/>
          <w:szCs w:val="28"/>
          <w:lang w:val="en-US" w:eastAsia="zh-CN"/>
        </w:rPr>
        <w:drawing>
          <wp:anchor distT="0" distB="0" distL="114300" distR="114300" simplePos="0" relativeHeight="251662336" behindDoc="0" locked="0" layoutInCell="1" allowOverlap="1">
            <wp:simplePos x="0" y="0"/>
            <wp:positionH relativeFrom="column">
              <wp:posOffset>42545</wp:posOffset>
            </wp:positionH>
            <wp:positionV relativeFrom="paragraph">
              <wp:posOffset>1276350</wp:posOffset>
            </wp:positionV>
            <wp:extent cx="5266690" cy="2665095"/>
            <wp:effectExtent l="106045" t="80010" r="113665" b="89535"/>
            <wp:wrapTopAndBottom/>
            <wp:docPr id="1179" name="图片 1179" descr="1620016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图片 1179" descr="1620016095(1)"/>
                    <pic:cNvPicPr>
                      <a:picLocks noChangeAspect="1"/>
                    </pic:cNvPicPr>
                  </pic:nvPicPr>
                  <pic:blipFill>
                    <a:blip r:embed="rId26"/>
                    <a:stretch>
                      <a:fillRect/>
                    </a:stretch>
                  </pic:blipFill>
                  <pic:spPr>
                    <a:xfrm>
                      <a:off x="0" y="0"/>
                      <a:ext cx="5266690" cy="2665095"/>
                    </a:xfrm>
                    <a:prstGeom prst="roundRect">
                      <a:avLst/>
                    </a:prstGeom>
                    <a:effectLst>
                      <a:outerShdw blurRad="63500" sx="102000" sy="102000" algn="ctr" rotWithShape="0">
                        <a:prstClr val="black">
                          <a:alpha val="40000"/>
                        </a:prstClr>
                      </a:outerShdw>
                    </a:effectLst>
                  </pic:spPr>
                </pic:pic>
              </a:graphicData>
            </a:graphic>
          </wp:anchor>
        </w:drawing>
      </w:r>
      <w:r>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由乡村服务站点通过收集整理下辖农村居民的需求意愿，并反馈至服务中心，再由服务中心根据农村居民的需求去采购服务产商品，通过自建物流配送体系送达农民手中。</w:t>
      </w:r>
    </w:p>
    <w:p>
      <w:pPr>
        <w:pStyle w:val="3"/>
        <w:keepNext/>
        <w:keepLines/>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outlineLvl w:val="1"/>
        <w:rPr>
          <w:rFonts w:hint="default" w:ascii="Times New Roman" w:hAnsi="Times New Roman" w:eastAsia="方正黑体_GBK" w:cs="Times New Roman"/>
          <w:b w:val="0"/>
          <w:bCs/>
          <w:sz w:val="32"/>
          <w:szCs w:val="52"/>
          <w:lang w:val="en-US" w:eastAsia="zh-CN"/>
        </w:rPr>
      </w:pPr>
      <w:bookmarkStart w:id="69" w:name="_Toc6228"/>
      <w:bookmarkStart w:id="70" w:name="_Toc22542"/>
      <w:bookmarkStart w:id="71" w:name="_Toc18859"/>
      <w:r>
        <w:rPr>
          <w:rFonts w:hint="default" w:ascii="Times New Roman" w:hAnsi="Times New Roman" w:eastAsia="方正黑体_GBK" w:cs="Times New Roman"/>
          <w:b w:val="0"/>
          <w:bCs/>
          <w:sz w:val="32"/>
          <w:szCs w:val="52"/>
          <w:lang w:val="en-US" w:eastAsia="zh-CN"/>
        </w:rPr>
        <w:t>七、降低成本，增加传统商贸流通企业参与度</w:t>
      </w:r>
      <w:bookmarkEnd w:id="69"/>
      <w:bookmarkEnd w:id="70"/>
      <w:bookmarkEnd w:id="71"/>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left="0" w:leftChars="0" w:right="0" w:rightChars="0" w:firstLine="640" w:firstLineChars="200"/>
        <w:jc w:val="both"/>
        <w:textAlignment w:val="auto"/>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服务中心充分整合本地商贸流通企业资源，如农资农具、快消品、日化品批发商等资源。利用自建物流配送体系，为全县所有乡村电商服务站和农村商超开展配送服务，降低配送成本，最大程度地增强传统商贸流通企业的参与度，逐步</w:t>
      </w:r>
      <w:r>
        <w:rPr>
          <w:rFonts w:hint="default" w:ascii="Times New Roman" w:hAnsi="Times New Roman" w:eastAsia="方正仿宋_GBK" w:cs="Times New Roman"/>
          <w:color w:val="000000" w:themeColor="text1"/>
          <w:sz w:val="32"/>
          <w:szCs w:val="32"/>
          <w:shd w:val="clear" w:color="auto" w:fill="FFFFFF"/>
          <w:lang w:val="en-US" w:eastAsia="zh-Hans"/>
          <w14:textFill>
            <w14:solidFill>
              <w14:schemeClr w14:val="tx1"/>
            </w14:solidFill>
          </w14:textFill>
        </w:rPr>
        <w:t>实现集中采购、统一配送、直供直销的数字化农村商贸流通</w:t>
      </w:r>
      <w:r>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发展</w:t>
      </w:r>
      <w:r>
        <w:rPr>
          <w:rFonts w:hint="default" w:ascii="Times New Roman" w:hAnsi="Times New Roman" w:eastAsia="方正仿宋_GBK" w:cs="Times New Roman"/>
          <w:color w:val="000000" w:themeColor="text1"/>
          <w:sz w:val="32"/>
          <w:szCs w:val="32"/>
          <w:shd w:val="clear" w:color="auto" w:fill="FFFFFF"/>
          <w:lang w:val="en-US" w:eastAsia="zh-Hans"/>
          <w14:textFill>
            <w14:solidFill>
              <w14:schemeClr w14:val="tx1"/>
            </w14:solidFill>
          </w14:textFill>
        </w:rPr>
        <w:t>新模式</w:t>
      </w:r>
      <w:r>
        <w:rPr>
          <w:rFonts w:hint="default"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。最终实现区域连锁分销体系格局。</w:t>
      </w:r>
    </w:p>
    <w:p>
      <w:pPr>
        <w:pStyle w:val="3"/>
        <w:keepNext/>
        <w:keepLines/>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outlineLvl w:val="1"/>
        <w:rPr>
          <w:rFonts w:hint="eastAsia" w:ascii="方正黑体_GBK" w:hAnsi="方正黑体_GBK" w:eastAsia="方正黑体_GBK" w:cs="方正黑体_GBK"/>
          <w:b w:val="0"/>
          <w:bCs/>
          <w:sz w:val="32"/>
          <w:szCs w:val="52"/>
          <w:lang w:val="en-US" w:eastAsia="zh-CN"/>
        </w:rPr>
      </w:pPr>
      <w:bookmarkStart w:id="72" w:name="_Toc10986"/>
      <w:bookmarkStart w:id="73" w:name="_Toc13212"/>
      <w:bookmarkStart w:id="74" w:name="_Toc16437"/>
      <w:r>
        <w:rPr>
          <w:rFonts w:hint="eastAsia" w:ascii="方正黑体_GBK" w:hAnsi="方正黑体_GBK" w:eastAsia="方正黑体_GBK" w:cs="方正黑体_GBK"/>
          <w:b w:val="0"/>
          <w:bCs/>
          <w:sz w:val="32"/>
          <w:szCs w:val="52"/>
          <w:lang w:val="en-US" w:eastAsia="zh-CN"/>
        </w:rPr>
        <w:t>八、培育壮大商贸流通主体</w:t>
      </w:r>
      <w:bookmarkEnd w:id="72"/>
      <w:bookmarkEnd w:id="73"/>
      <w:bookmarkEnd w:id="74"/>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仿宋_GBK" w:cs="Times New Roman"/>
          <w:color w:val="000000" w:themeColor="text1"/>
          <w:kern w:val="0"/>
          <w:sz w:val="32"/>
          <w:szCs w:val="32"/>
          <w:shd w:val="clear" w:color="auto" w:fill="FFFFFF"/>
          <w:lang w:val="en-US" w:eastAsia="zh-CN" w:bidi="ar-SA"/>
          <w14:textFill>
            <w14:solidFill>
              <w14:schemeClr w14:val="tx1"/>
            </w14:solidFill>
          </w14:textFill>
        </w:rPr>
      </w:pPr>
      <w:r>
        <w:rPr>
          <w:rFonts w:hint="default" w:ascii="Times New Roman" w:hAnsi="Times New Roman" w:eastAsia="方正仿宋_GBK" w:cs="Times New Roman"/>
          <w:color w:val="000000" w:themeColor="text1"/>
          <w:kern w:val="0"/>
          <w:sz w:val="32"/>
          <w:szCs w:val="32"/>
          <w:shd w:val="clear" w:color="auto" w:fill="FFFFFF"/>
          <w:lang w:val="en-US" w:eastAsia="zh-CN" w:bidi="ar-SA"/>
          <w14:textFill>
            <w14:solidFill>
              <w14:schemeClr w14:val="tx1"/>
            </w14:solidFill>
          </w14:textFill>
        </w:rPr>
        <w:t>落实税费减免、用电用水同价、要素保障等政策，降低企业运营成本。支持骨干流通企业通过参股控股、特许经营等方式跨行业、跨区域兼并重组，推动具备条件的流通企业利用多层次资本市场做大做强，培育若干知名度高、主业突出、竞争力强的大型流通企业，提升市场占有率和产业集中度。支持各地建设中小商贸流通企业公共服务平台，提供融资、市场营销、管理咨询等服务，促进中小微流通企业专业化、特色化发展。</w:t>
      </w:r>
    </w:p>
    <w:p>
      <w:pPr>
        <w:pStyle w:val="3"/>
        <w:keepNext/>
        <w:keepLines/>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outlineLvl w:val="1"/>
        <w:rPr>
          <w:rFonts w:hint="eastAsia" w:ascii="方正黑体_GBK" w:hAnsi="方正黑体_GBK" w:eastAsia="方正黑体_GBK" w:cs="方正黑体_GBK"/>
          <w:b w:val="0"/>
          <w:bCs/>
          <w:sz w:val="32"/>
          <w:szCs w:val="52"/>
          <w:lang w:val="en-US" w:eastAsia="zh-CN"/>
        </w:rPr>
      </w:pPr>
      <w:bookmarkStart w:id="75" w:name="_Toc18735"/>
      <w:bookmarkStart w:id="76" w:name="_Toc31400"/>
      <w:bookmarkStart w:id="77" w:name="_Toc14491"/>
      <w:r>
        <w:rPr>
          <w:rFonts w:hint="eastAsia" w:ascii="方正黑体_GBK" w:hAnsi="方正黑体_GBK" w:eastAsia="方正黑体_GBK" w:cs="方正黑体_GBK"/>
          <w:b w:val="0"/>
          <w:bCs/>
          <w:sz w:val="32"/>
          <w:szCs w:val="52"/>
          <w:lang w:val="en-US" w:eastAsia="zh-CN"/>
        </w:rPr>
        <w:t>九、未来展望</w:t>
      </w:r>
      <w:bookmarkEnd w:id="75"/>
      <w:bookmarkEnd w:id="76"/>
      <w:bookmarkEnd w:id="77"/>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仿宋_GBK" w:cs="Times New Roman"/>
          <w:color w:val="000000" w:themeColor="text1"/>
          <w:kern w:val="0"/>
          <w:sz w:val="32"/>
          <w:szCs w:val="32"/>
          <w:shd w:val="clear" w:color="auto" w:fill="FFFFFF"/>
          <w:lang w:val="en-US" w:eastAsia="zh-CN" w:bidi="ar-SA"/>
          <w14:textFill>
            <w14:solidFill>
              <w14:schemeClr w14:val="tx1"/>
            </w14:solidFill>
          </w14:textFill>
        </w:rPr>
      </w:pPr>
      <w:r>
        <w:rPr>
          <w:rFonts w:hint="default" w:ascii="Times New Roman" w:hAnsi="Times New Roman" w:eastAsia="方正仿宋_GBK" w:cs="Times New Roman"/>
          <w:color w:val="000000" w:themeColor="text1"/>
          <w:kern w:val="0"/>
          <w:sz w:val="32"/>
          <w:szCs w:val="32"/>
          <w:shd w:val="clear" w:color="auto" w:fill="FFFFFF"/>
          <w:lang w:val="en-US" w:eastAsia="zh-CN" w:bidi="ar-SA"/>
          <w14:textFill>
            <w14:solidFill>
              <w14:schemeClr w14:val="tx1"/>
            </w14:solidFill>
          </w14:textFill>
        </w:rPr>
        <w:t>通过推进新平县传统商贸流通企业转型升级，以及区域连锁分销体系的建立，不断充实分销体系的服务和商品资源，拉动区域内需，实现区域传统企业全面参与农村电商发展的第一步。在此基础上，全面引导和带动传统企业走出新平、走出云南，走向全国，迈向世界，逐步实现农村电商助力乡村振兴发展大局。</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eastAsia" w:ascii="方正黑体_GBK" w:hAnsi="方正黑体_GBK" w:eastAsia="方正黑体_GBK" w:cs="方正黑体_GBK"/>
          <w:b w:val="0"/>
          <w:bCs/>
          <w:sz w:val="32"/>
          <w:szCs w:val="52"/>
          <w:lang w:eastAsia="zh-CN"/>
        </w:rPr>
      </w:pPr>
      <w:r>
        <w:rPr>
          <w:rFonts w:hint="eastAsia" w:ascii="方正黑体_GBK" w:hAnsi="方正黑体_GBK" w:eastAsia="方正黑体_GBK" w:cs="方正黑体_GBK"/>
          <w:b w:val="0"/>
          <w:bCs/>
          <w:sz w:val="32"/>
          <w:szCs w:val="52"/>
          <w:lang w:eastAsia="zh-CN"/>
        </w:rPr>
        <w:t>十、实施计划</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楷体_GBK" w:cs="Times New Roman"/>
          <w:b w:val="0"/>
          <w:bCs w:val="0"/>
          <w:color w:val="000000" w:themeColor="text1"/>
          <w:kern w:val="0"/>
          <w:sz w:val="32"/>
          <w:szCs w:val="32"/>
          <w:shd w:val="clear" w:color="auto" w:fill="FFFFFF"/>
          <w:lang w:eastAsia="zh-CN" w:bidi="ar-SA"/>
          <w14:textFill>
            <w14:solidFill>
              <w14:schemeClr w14:val="tx1"/>
            </w14:solidFill>
          </w14:textFill>
        </w:rPr>
      </w:pPr>
      <w:r>
        <w:rPr>
          <w:rFonts w:hint="default" w:ascii="Times New Roman" w:hAnsi="Times New Roman" w:eastAsia="方正楷体_GBK" w:cs="Times New Roman"/>
          <w:b w:val="0"/>
          <w:bCs w:val="0"/>
          <w:color w:val="000000" w:themeColor="text1"/>
          <w:kern w:val="0"/>
          <w:sz w:val="32"/>
          <w:szCs w:val="32"/>
          <w:shd w:val="clear" w:color="auto" w:fill="FFFFFF"/>
          <w:lang w:eastAsia="zh-CN" w:bidi="ar-SA"/>
          <w14:textFill>
            <w14:solidFill>
              <w14:schemeClr w14:val="tx1"/>
            </w14:solidFill>
          </w14:textFill>
        </w:rPr>
        <w:t>（一）调研阶段（2022年3月—4月）</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仿宋_GBK" w:cs="Times New Roman"/>
          <w:color w:val="000000" w:themeColor="text1"/>
          <w:kern w:val="0"/>
          <w:sz w:val="32"/>
          <w:szCs w:val="32"/>
          <w:shd w:val="clear" w:color="auto" w:fill="FFFFFF"/>
          <w:lang w:eastAsia="zh-CN" w:bidi="ar-SA"/>
          <w14:textFill>
            <w14:solidFill>
              <w14:schemeClr w14:val="tx1"/>
            </w14:solidFill>
          </w14:textFill>
        </w:rPr>
      </w:pPr>
      <w:r>
        <w:rPr>
          <w:rFonts w:hint="default" w:ascii="Times New Roman" w:hAnsi="Times New Roman" w:eastAsia="方正仿宋_GBK" w:cs="Times New Roman"/>
          <w:color w:val="000000" w:themeColor="text1"/>
          <w:kern w:val="0"/>
          <w:sz w:val="32"/>
          <w:szCs w:val="32"/>
          <w:shd w:val="clear" w:color="auto" w:fill="FFFFFF"/>
          <w:lang w:eastAsia="zh-CN" w:bidi="ar-SA"/>
          <w14:textFill>
            <w14:solidFill>
              <w14:schemeClr w14:val="tx1"/>
            </w14:solidFill>
          </w14:textFill>
        </w:rPr>
        <w:t>调研走访本地生产加工型企业或合作社，收集基础信息，洽谈合作意向，并签订有关转型升级服务协议。收集商贸流通企业、农资企业信息，并洽谈工业品下行业务整合事项，制定业务流程和合作方案，签订有关工业品行下合作协议。</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楷体_GBK" w:cs="Times New Roman"/>
          <w:b w:val="0"/>
          <w:bCs w:val="0"/>
          <w:color w:val="000000" w:themeColor="text1"/>
          <w:kern w:val="0"/>
          <w:sz w:val="32"/>
          <w:szCs w:val="32"/>
          <w:shd w:val="clear" w:color="auto" w:fill="FFFFFF"/>
          <w:lang w:eastAsia="zh-CN" w:bidi="ar-SA"/>
          <w14:textFill>
            <w14:solidFill>
              <w14:schemeClr w14:val="tx1"/>
            </w14:solidFill>
          </w14:textFill>
        </w:rPr>
      </w:pPr>
      <w:r>
        <w:rPr>
          <w:rFonts w:hint="default" w:ascii="Times New Roman" w:hAnsi="Times New Roman" w:eastAsia="方正楷体_GBK" w:cs="Times New Roman"/>
          <w:b w:val="0"/>
          <w:bCs w:val="0"/>
          <w:color w:val="000000" w:themeColor="text1"/>
          <w:kern w:val="0"/>
          <w:sz w:val="32"/>
          <w:szCs w:val="32"/>
          <w:shd w:val="clear" w:color="auto" w:fill="FFFFFF"/>
          <w:lang w:eastAsia="zh-CN" w:bidi="ar-SA"/>
          <w14:textFill>
            <w14:solidFill>
              <w14:schemeClr w14:val="tx1"/>
            </w14:solidFill>
          </w14:textFill>
        </w:rPr>
        <w:t>（二）实施阶段（2022年5月—2022年12月）</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仿宋_GBK" w:cs="Times New Roman"/>
          <w:color w:val="000000" w:themeColor="text1"/>
          <w:kern w:val="0"/>
          <w:sz w:val="32"/>
          <w:szCs w:val="32"/>
          <w:shd w:val="clear" w:color="auto" w:fill="FFFFFF"/>
          <w:lang w:eastAsia="zh-CN" w:bidi="ar-SA"/>
          <w14:textFill>
            <w14:solidFill>
              <w14:schemeClr w14:val="tx1"/>
            </w14:solidFill>
          </w14:textFill>
        </w:rPr>
      </w:pPr>
      <w:r>
        <w:rPr>
          <w:rFonts w:hint="default" w:ascii="Times New Roman" w:hAnsi="Times New Roman" w:eastAsia="方正仿宋_GBK" w:cs="Times New Roman"/>
          <w:color w:val="000000" w:themeColor="text1"/>
          <w:kern w:val="0"/>
          <w:sz w:val="32"/>
          <w:szCs w:val="32"/>
          <w:shd w:val="clear" w:color="auto" w:fill="FFFFFF"/>
          <w:lang w:eastAsia="zh-CN" w:bidi="ar-SA"/>
          <w14:textFill>
            <w14:solidFill>
              <w14:schemeClr w14:val="tx1"/>
            </w14:solidFill>
          </w14:textFill>
        </w:rPr>
        <w:t>1.对选定的转型升级培育对象进行全程指导，记录服务过程材料，记录培育效果材料。</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仿宋_GBK" w:cs="Times New Roman"/>
          <w:color w:val="000000" w:themeColor="text1"/>
          <w:kern w:val="0"/>
          <w:sz w:val="32"/>
          <w:szCs w:val="32"/>
          <w:shd w:val="clear" w:color="auto" w:fill="FFFFFF"/>
          <w:lang w:eastAsia="zh-CN" w:bidi="ar-SA"/>
          <w14:textFill>
            <w14:solidFill>
              <w14:schemeClr w14:val="tx1"/>
            </w14:solidFill>
          </w14:textFill>
        </w:rPr>
      </w:pPr>
      <w:r>
        <w:rPr>
          <w:rFonts w:hint="default" w:ascii="Times New Roman" w:hAnsi="Times New Roman" w:eastAsia="方正仿宋_GBK" w:cs="Times New Roman"/>
          <w:color w:val="000000" w:themeColor="text1"/>
          <w:kern w:val="0"/>
          <w:sz w:val="32"/>
          <w:szCs w:val="32"/>
          <w:shd w:val="clear" w:color="auto" w:fill="FFFFFF"/>
          <w:lang w:eastAsia="zh-CN" w:bidi="ar-SA"/>
          <w14:textFill>
            <w14:solidFill>
              <w14:schemeClr w14:val="tx1"/>
            </w14:solidFill>
          </w14:textFill>
        </w:rPr>
        <w:t>2.对商贸流通企业、农资等工业品下行资源进行整合，依托三级物流配送体系开展工业品下行配送业务。</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仿宋_GBK" w:cs="Times New Roman"/>
          <w:color w:val="000000" w:themeColor="text1"/>
          <w:kern w:val="0"/>
          <w:sz w:val="32"/>
          <w:szCs w:val="32"/>
          <w:shd w:val="clear" w:color="auto" w:fill="FFFFFF"/>
          <w:lang w:eastAsia="zh-CN" w:bidi="ar-SA"/>
          <w14:textFill>
            <w14:solidFill>
              <w14:schemeClr w14:val="tx1"/>
            </w14:solidFill>
          </w14:textFill>
        </w:rPr>
      </w:pPr>
      <w:r>
        <w:rPr>
          <w:rFonts w:hint="default" w:ascii="Times New Roman" w:hAnsi="Times New Roman" w:eastAsia="方正仿宋_GBK" w:cs="Times New Roman"/>
          <w:color w:val="000000" w:themeColor="text1"/>
          <w:kern w:val="0"/>
          <w:sz w:val="32"/>
          <w:szCs w:val="32"/>
          <w:shd w:val="clear" w:color="auto" w:fill="FFFFFF"/>
          <w:lang w:eastAsia="zh-CN" w:bidi="ar-SA"/>
          <w14:textFill>
            <w14:solidFill>
              <w14:schemeClr w14:val="tx1"/>
            </w14:solidFill>
          </w14:textFill>
        </w:rPr>
        <w:t>3.开展5次工业品下行消费活动，促进农村消费，提升商贸流通数字化水平。</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仿宋_GBK" w:cs="Times New Roman"/>
          <w:color w:val="000000" w:themeColor="text1"/>
          <w:kern w:val="0"/>
          <w:sz w:val="32"/>
          <w:szCs w:val="32"/>
          <w:shd w:val="clear" w:color="auto" w:fill="FFFFFF"/>
          <w:lang w:eastAsia="zh-CN" w:bidi="ar-SA"/>
          <w14:textFill>
            <w14:solidFill>
              <w14:schemeClr w14:val="tx1"/>
            </w14:solidFill>
          </w14:textFill>
        </w:rPr>
      </w:pPr>
      <w:r>
        <w:rPr>
          <w:rFonts w:hint="default" w:ascii="Times New Roman" w:hAnsi="Times New Roman" w:eastAsia="方正仿宋_GBK" w:cs="Times New Roman"/>
          <w:color w:val="000000" w:themeColor="text1"/>
          <w:kern w:val="0"/>
          <w:sz w:val="32"/>
          <w:szCs w:val="32"/>
          <w:shd w:val="clear" w:color="auto" w:fill="FFFFFF"/>
          <w:lang w:eastAsia="zh-CN" w:bidi="ar-SA"/>
          <w14:textFill>
            <w14:solidFill>
              <w14:schemeClr w14:val="tx1"/>
            </w14:solidFill>
          </w14:textFill>
        </w:rPr>
        <w:t>4.建设完成1套工业品下行采购系统，整合农村日用消费品、农资下乡等资源入驻平台，站点可在平台上进行统一采购，由三级物流配送体系搭载日用品消费品、农资进行配送下乡。</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仿宋_GBK" w:cs="Times New Roman"/>
          <w:color w:val="000000" w:themeColor="text1"/>
          <w:kern w:val="0"/>
          <w:sz w:val="32"/>
          <w:szCs w:val="32"/>
          <w:shd w:val="clear" w:color="auto" w:fill="FFFFFF"/>
          <w:lang w:eastAsia="zh-CN" w:bidi="ar-SA"/>
          <w14:textFill>
            <w14:solidFill>
              <w14:schemeClr w14:val="tx1"/>
            </w14:solidFill>
          </w14:textFill>
        </w:rPr>
      </w:pPr>
      <w:r>
        <w:rPr>
          <w:rFonts w:hint="default" w:ascii="Times New Roman" w:hAnsi="Times New Roman" w:eastAsia="方正仿宋_GBK" w:cs="Times New Roman"/>
          <w:color w:val="000000" w:themeColor="text1"/>
          <w:kern w:val="0"/>
          <w:sz w:val="32"/>
          <w:szCs w:val="32"/>
          <w:shd w:val="clear" w:color="auto" w:fill="FFFFFF"/>
          <w:lang w:eastAsia="zh-CN" w:bidi="ar-SA"/>
          <w14:textFill>
            <w14:solidFill>
              <w14:schemeClr w14:val="tx1"/>
            </w14:solidFill>
          </w14:textFill>
        </w:rPr>
        <w:t>5.建设完成1套进销存管理系统，对工业品下行业务、服务站点业务、物流配送业务进行集约整合。</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楷体_GBK" w:cs="Times New Roman"/>
          <w:b w:val="0"/>
          <w:bCs w:val="0"/>
          <w:color w:val="000000" w:themeColor="text1"/>
          <w:kern w:val="0"/>
          <w:sz w:val="32"/>
          <w:szCs w:val="32"/>
          <w:shd w:val="clear" w:color="auto" w:fill="FFFFFF"/>
          <w:lang w:eastAsia="zh-CN" w:bidi="ar-SA"/>
          <w14:textFill>
            <w14:solidFill>
              <w14:schemeClr w14:val="tx1"/>
            </w14:solidFill>
          </w14:textFill>
        </w:rPr>
      </w:pPr>
      <w:r>
        <w:rPr>
          <w:rFonts w:hint="default" w:ascii="Times New Roman" w:hAnsi="Times New Roman" w:eastAsia="方正楷体_GBK" w:cs="Times New Roman"/>
          <w:b w:val="0"/>
          <w:bCs w:val="0"/>
          <w:color w:val="000000" w:themeColor="text1"/>
          <w:kern w:val="0"/>
          <w:sz w:val="32"/>
          <w:szCs w:val="32"/>
          <w:shd w:val="clear" w:color="auto" w:fill="FFFFFF"/>
          <w:lang w:eastAsia="zh-CN" w:bidi="ar-SA"/>
          <w14:textFill>
            <w14:solidFill>
              <w14:schemeClr w14:val="tx1"/>
            </w14:solidFill>
          </w14:textFill>
        </w:rPr>
        <w:t>（三）总结推广阶段（2023年1月至长期）</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仿宋_GBK" w:cs="Times New Roman"/>
          <w:color w:val="000000" w:themeColor="text1"/>
          <w:kern w:val="0"/>
          <w:sz w:val="32"/>
          <w:szCs w:val="32"/>
          <w:shd w:val="clear" w:color="auto" w:fill="FFFFFF"/>
          <w:lang w:eastAsia="zh-CN" w:bidi="ar-SA"/>
          <w14:textFill>
            <w14:solidFill>
              <w14:schemeClr w14:val="tx1"/>
            </w14:solidFill>
          </w14:textFill>
        </w:rPr>
      </w:pPr>
      <w:r>
        <w:rPr>
          <w:rFonts w:hint="default" w:ascii="Times New Roman" w:hAnsi="Times New Roman" w:eastAsia="方正仿宋_GBK" w:cs="Times New Roman"/>
          <w:color w:val="000000" w:themeColor="text1"/>
          <w:kern w:val="0"/>
          <w:sz w:val="32"/>
          <w:szCs w:val="32"/>
          <w:shd w:val="clear" w:color="auto" w:fill="FFFFFF"/>
          <w:lang w:eastAsia="zh-CN" w:bidi="ar-SA"/>
          <w14:textFill>
            <w14:solidFill>
              <w14:schemeClr w14:val="tx1"/>
            </w14:solidFill>
          </w14:textFill>
        </w:rPr>
        <w:t>通过工业品下行体系建设，形成一套可持续、可复制的模式，总结经验并进行广泛宣传报道。</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仿宋_GBK" w:cs="Times New Roman"/>
          <w:color w:val="000000" w:themeColor="text1"/>
          <w:kern w:val="0"/>
          <w:sz w:val="32"/>
          <w:szCs w:val="32"/>
          <w:shd w:val="clear" w:color="auto" w:fill="FFFFFF"/>
          <w:lang w:eastAsia="zh-CN" w:bidi="ar-SA"/>
          <w14:textFill>
            <w14:solidFill>
              <w14:schemeClr w14:val="tx1"/>
            </w14:solidFill>
          </w14:textFill>
        </w:rPr>
      </w:pPr>
    </w:p>
    <w:p>
      <w:pPr>
        <w:pStyle w:val="2"/>
      </w:pPr>
    </w:p>
    <w:p>
      <w:pPr>
        <w:pStyle w:val="15"/>
        <w:keepNext w:val="0"/>
        <w:keepLines w:val="0"/>
        <w:pageBreakBefore w:val="0"/>
        <w:widowControl/>
        <w:suppressLineNumbers w:val="0"/>
        <w:pBdr>
          <w:top w:val="single" w:color="auto" w:sz="6" w:space="0"/>
          <w:left w:val="none" w:color="auto" w:sz="0" w:space="0"/>
          <w:bottom w:val="single" w:color="auto" w:sz="6"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285"/>
        <w:jc w:val="both"/>
        <w:textAlignment w:val="auto"/>
        <w:rPr>
          <w:rFonts w:hint="default" w:ascii="Times New Roman" w:hAnsi="Times New Roman" w:eastAsia="方正仿宋_GBK" w:cs="Times New Roman"/>
          <w:b w:val="0"/>
          <w:bCs w:val="0"/>
          <w:i w:val="0"/>
          <w:iCs w:val="0"/>
          <w:caps w:val="0"/>
          <w:color w:val="000000"/>
          <w:spacing w:val="0"/>
          <w:sz w:val="30"/>
          <w:szCs w:val="30"/>
          <w:shd w:val="clear" w:fill="FFFFFF"/>
          <w:lang w:val="en-US" w:eastAsia="zh-CN"/>
        </w:rPr>
      </w:pPr>
      <w:r>
        <w:rPr>
          <w:rFonts w:hint="default" w:ascii="Times New Roman" w:hAnsi="Times New Roman" w:eastAsia="方正仿宋_GBK" w:cs="Times New Roman"/>
          <w:b w:val="0"/>
          <w:bCs w:val="0"/>
          <w:i w:val="0"/>
          <w:iCs w:val="0"/>
          <w:caps w:val="0"/>
          <w:color w:val="000000"/>
          <w:spacing w:val="0"/>
          <w:sz w:val="30"/>
          <w:szCs w:val="30"/>
          <w:shd w:val="clear" w:fill="FFFFFF"/>
          <w:lang w:val="en-US" w:eastAsia="zh-CN"/>
        </w:rPr>
        <w:t>报送：</w:t>
      </w:r>
      <w:r>
        <w:rPr>
          <w:rFonts w:hint="default" w:ascii="Times New Roman" w:hAnsi="Times New Roman" w:eastAsia="方正仿宋_GBK" w:cs="Times New Roman"/>
          <w:b w:val="0"/>
          <w:bCs w:val="0"/>
          <w:i w:val="0"/>
          <w:iCs w:val="0"/>
          <w:caps w:val="0"/>
          <w:color w:val="000000"/>
          <w:spacing w:val="0"/>
          <w:sz w:val="30"/>
          <w:szCs w:val="30"/>
          <w:shd w:val="clear" w:fill="FFFFFF"/>
          <w:lang w:val="en-US" w:eastAsia="zh-Hans"/>
        </w:rPr>
        <w:t>新平县</w:t>
      </w:r>
      <w:r>
        <w:rPr>
          <w:rFonts w:hint="default" w:ascii="Times New Roman" w:hAnsi="Times New Roman" w:eastAsia="方正仿宋_GBK" w:cs="Times New Roman"/>
          <w:b w:val="0"/>
          <w:bCs w:val="0"/>
          <w:i w:val="0"/>
          <w:iCs w:val="0"/>
          <w:caps w:val="0"/>
          <w:color w:val="000000"/>
          <w:spacing w:val="0"/>
          <w:sz w:val="30"/>
          <w:szCs w:val="30"/>
          <w:shd w:val="clear" w:fill="FFFFFF"/>
          <w:lang w:val="en-US" w:eastAsia="zh-CN"/>
        </w:rPr>
        <w:t xml:space="preserve">商务局  </w:t>
      </w:r>
    </w:p>
    <w:p>
      <w:pPr>
        <w:pStyle w:val="15"/>
        <w:keepNext w:val="0"/>
        <w:keepLines w:val="0"/>
        <w:pageBreakBefore w:val="0"/>
        <w:widowControl/>
        <w:suppressLineNumbers w:val="0"/>
        <w:pBdr>
          <w:top w:val="single" w:color="auto" w:sz="6" w:space="0"/>
          <w:left w:val="none" w:color="auto" w:sz="0" w:space="0"/>
          <w:bottom w:val="single" w:color="auto" w:sz="6"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285"/>
        <w:jc w:val="both"/>
        <w:textAlignment w:val="auto"/>
        <w:rPr>
          <w:rFonts w:hint="default" w:ascii="Times New Roman" w:hAnsi="Times New Roman" w:eastAsia="方正仿宋_GBK" w:cs="Times New Roman"/>
          <w:b w:val="0"/>
          <w:bCs w:val="0"/>
          <w:i w:val="0"/>
          <w:iCs w:val="0"/>
          <w:caps w:val="0"/>
          <w:color w:val="000000"/>
          <w:spacing w:val="0"/>
          <w:sz w:val="30"/>
          <w:szCs w:val="30"/>
          <w:shd w:val="clear" w:fill="FFFFFF"/>
          <w:lang w:val="en-US" w:eastAsia="zh-CN"/>
        </w:rPr>
      </w:pPr>
      <w:r>
        <w:rPr>
          <w:rFonts w:hint="default" w:ascii="Times New Roman" w:hAnsi="Times New Roman" w:eastAsia="方正仿宋_GBK" w:cs="Times New Roman"/>
          <w:b w:val="0"/>
          <w:bCs w:val="0"/>
          <w:i w:val="0"/>
          <w:iCs w:val="0"/>
          <w:caps w:val="0"/>
          <w:color w:val="000000"/>
          <w:spacing w:val="0"/>
          <w:sz w:val="30"/>
          <w:szCs w:val="30"/>
          <w:shd w:val="clear" w:fill="FFFFFF"/>
          <w:lang w:val="en-US" w:eastAsia="zh-CN"/>
        </w:rPr>
        <w:t>抄送：</w:t>
      </w:r>
      <w:r>
        <w:rPr>
          <w:rFonts w:hint="default" w:ascii="Times New Roman" w:hAnsi="Times New Roman" w:eastAsia="方正仿宋_GBK" w:cs="Times New Roman"/>
          <w:b w:val="0"/>
          <w:bCs w:val="0"/>
          <w:i w:val="0"/>
          <w:iCs w:val="0"/>
          <w:caps w:val="0"/>
          <w:color w:val="000000"/>
          <w:spacing w:val="0"/>
          <w:sz w:val="30"/>
          <w:szCs w:val="30"/>
          <w:shd w:val="clear" w:fill="FFFFFF"/>
          <w:lang w:val="en-US" w:eastAsia="zh-Hans"/>
        </w:rPr>
        <w:t>新平县电子商务进农村综合示范项目</w:t>
      </w:r>
      <w:r>
        <w:rPr>
          <w:rFonts w:hint="default" w:ascii="Times New Roman" w:hAnsi="Times New Roman" w:eastAsia="方正仿宋_GBK" w:cs="Times New Roman"/>
          <w:b w:val="0"/>
          <w:bCs w:val="0"/>
          <w:i w:val="0"/>
          <w:iCs w:val="0"/>
          <w:caps w:val="0"/>
          <w:color w:val="000000"/>
          <w:spacing w:val="0"/>
          <w:sz w:val="30"/>
          <w:szCs w:val="30"/>
          <w:shd w:val="clear" w:fill="FFFFFF"/>
          <w:lang w:val="en-US" w:eastAsia="zh-CN"/>
        </w:rPr>
        <w:t>工作领导小组办公室</w:t>
      </w:r>
    </w:p>
    <w:p>
      <w:pPr>
        <w:pStyle w:val="15"/>
        <w:keepNext w:val="0"/>
        <w:keepLines w:val="0"/>
        <w:pageBreakBefore w:val="0"/>
        <w:widowControl/>
        <w:suppressLineNumbers w:val="0"/>
        <w:pBdr>
          <w:top w:val="single" w:color="auto" w:sz="6" w:space="0"/>
          <w:left w:val="none" w:color="auto" w:sz="0" w:space="0"/>
          <w:bottom w:val="single" w:color="auto" w:sz="6"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285"/>
        <w:jc w:val="both"/>
        <w:textAlignment w:val="auto"/>
      </w:pPr>
      <w:r>
        <w:rPr>
          <w:rFonts w:hint="default" w:ascii="Times New Roman" w:hAnsi="Times New Roman" w:eastAsia="方正仿宋_GBK" w:cs="Times New Roman"/>
          <w:b w:val="0"/>
          <w:bCs w:val="0"/>
          <w:i w:val="0"/>
          <w:iCs w:val="0"/>
          <w:caps w:val="0"/>
          <w:color w:val="000000"/>
          <w:spacing w:val="0"/>
          <w:sz w:val="30"/>
          <w:szCs w:val="30"/>
          <w:shd w:val="clear" w:fill="FFFFFF"/>
          <w:lang w:val="en-US" w:eastAsia="zh-CN"/>
        </w:rPr>
        <w:t xml:space="preserve">灼见电子商务（云南）有限公司 </w:t>
      </w:r>
      <w:r>
        <w:rPr>
          <w:rFonts w:hint="eastAsia" w:ascii="Times New Roman" w:hAnsi="Times New Roman" w:eastAsia="方正仿宋_GBK" w:cs="Times New Roman"/>
          <w:b w:val="0"/>
          <w:bCs w:val="0"/>
          <w:i w:val="0"/>
          <w:iCs w:val="0"/>
          <w:caps w:val="0"/>
          <w:color w:val="000000"/>
          <w:spacing w:val="0"/>
          <w:sz w:val="30"/>
          <w:szCs w:val="30"/>
          <w:shd w:val="clear" w:fill="FFFFFF"/>
          <w:lang w:val="en-US" w:eastAsia="zh-CN"/>
        </w:rPr>
        <w:t xml:space="preserve">     </w:t>
      </w:r>
      <w:r>
        <w:rPr>
          <w:rFonts w:hint="default" w:ascii="Times New Roman" w:hAnsi="Times New Roman" w:eastAsia="方正仿宋_GBK" w:cs="Times New Roman"/>
          <w:b w:val="0"/>
          <w:bCs w:val="0"/>
          <w:i w:val="0"/>
          <w:iCs w:val="0"/>
          <w:caps w:val="0"/>
          <w:color w:val="000000"/>
          <w:spacing w:val="0"/>
          <w:sz w:val="30"/>
          <w:szCs w:val="30"/>
          <w:shd w:val="clear" w:fill="FFFFFF"/>
          <w:lang w:val="en-US" w:eastAsia="zh-CN"/>
        </w:rPr>
        <w:t xml:space="preserve"> </w:t>
      </w:r>
      <w:r>
        <w:rPr>
          <w:rFonts w:hint="default" w:ascii="Times New Roman" w:hAnsi="Times New Roman" w:eastAsia="方正仿宋_GBK" w:cs="Times New Roman"/>
          <w:b w:val="0"/>
          <w:bCs w:val="0"/>
          <w:i w:val="0"/>
          <w:iCs w:val="0"/>
          <w:caps w:val="0"/>
          <w:color w:val="000000"/>
          <w:spacing w:val="0"/>
          <w:sz w:val="30"/>
          <w:szCs w:val="30"/>
          <w:shd w:val="clear" w:fill="FFFFFF"/>
        </w:rPr>
        <w:t>202</w:t>
      </w:r>
      <w:r>
        <w:rPr>
          <w:rFonts w:hint="default" w:ascii="Times New Roman" w:hAnsi="Times New Roman" w:eastAsia="方正仿宋_GBK" w:cs="Times New Roman"/>
          <w:b w:val="0"/>
          <w:bCs w:val="0"/>
          <w:i w:val="0"/>
          <w:iCs w:val="0"/>
          <w:caps w:val="0"/>
          <w:color w:val="000000"/>
          <w:spacing w:val="0"/>
          <w:sz w:val="30"/>
          <w:szCs w:val="30"/>
          <w:shd w:val="clear" w:fill="FFFFFF"/>
          <w:lang w:val="en-US" w:eastAsia="zh-CN"/>
        </w:rPr>
        <w:t>2</w:t>
      </w:r>
      <w:r>
        <w:rPr>
          <w:rFonts w:hint="default" w:ascii="Times New Roman" w:hAnsi="Times New Roman" w:eastAsia="方正仿宋_GBK" w:cs="Times New Roman"/>
          <w:b w:val="0"/>
          <w:bCs w:val="0"/>
          <w:i w:val="0"/>
          <w:iCs w:val="0"/>
          <w:caps w:val="0"/>
          <w:color w:val="000000"/>
          <w:spacing w:val="0"/>
          <w:sz w:val="30"/>
          <w:szCs w:val="30"/>
          <w:shd w:val="clear" w:fill="FFFFFF"/>
        </w:rPr>
        <w:t>年</w:t>
      </w:r>
      <w:r>
        <w:rPr>
          <w:rFonts w:hint="default" w:ascii="Times New Roman" w:hAnsi="Times New Roman" w:eastAsia="方正仿宋_GBK" w:cs="Times New Roman"/>
          <w:b w:val="0"/>
          <w:bCs w:val="0"/>
          <w:i w:val="0"/>
          <w:iCs w:val="0"/>
          <w:caps w:val="0"/>
          <w:color w:val="000000"/>
          <w:spacing w:val="0"/>
          <w:sz w:val="30"/>
          <w:szCs w:val="30"/>
          <w:shd w:val="clear" w:fill="FFFFFF"/>
          <w:lang w:eastAsia="zh-CN"/>
        </w:rPr>
        <w:t>0</w:t>
      </w:r>
      <w:r>
        <w:rPr>
          <w:rFonts w:hint="eastAsia" w:ascii="Times New Roman" w:hAnsi="Times New Roman" w:eastAsia="方正仿宋_GBK" w:cs="Times New Roman"/>
          <w:b w:val="0"/>
          <w:bCs w:val="0"/>
          <w:i w:val="0"/>
          <w:iCs w:val="0"/>
          <w:caps w:val="0"/>
          <w:color w:val="000000"/>
          <w:spacing w:val="0"/>
          <w:sz w:val="30"/>
          <w:szCs w:val="30"/>
          <w:shd w:val="clear" w:fill="FFFFFF"/>
          <w:lang w:val="en-US" w:eastAsia="zh-CN"/>
        </w:rPr>
        <w:t>5</w:t>
      </w:r>
      <w:r>
        <w:rPr>
          <w:rFonts w:hint="default" w:ascii="Times New Roman" w:hAnsi="Times New Roman" w:eastAsia="方正仿宋_GBK" w:cs="Times New Roman"/>
          <w:b w:val="0"/>
          <w:bCs w:val="0"/>
          <w:i w:val="0"/>
          <w:iCs w:val="0"/>
          <w:caps w:val="0"/>
          <w:color w:val="000000"/>
          <w:spacing w:val="0"/>
          <w:sz w:val="30"/>
          <w:szCs w:val="30"/>
          <w:shd w:val="clear" w:fill="FFFFFF"/>
        </w:rPr>
        <w:t>月</w:t>
      </w:r>
      <w:r>
        <w:rPr>
          <w:rFonts w:hint="eastAsia" w:ascii="Times New Roman" w:hAnsi="Times New Roman" w:eastAsia="方正仿宋_GBK" w:cs="Times New Roman"/>
          <w:b w:val="0"/>
          <w:bCs w:val="0"/>
          <w:i w:val="0"/>
          <w:iCs w:val="0"/>
          <w:caps w:val="0"/>
          <w:color w:val="000000"/>
          <w:spacing w:val="0"/>
          <w:sz w:val="30"/>
          <w:szCs w:val="30"/>
          <w:shd w:val="clear" w:fill="FFFFFF"/>
          <w:lang w:val="en-US" w:eastAsia="zh-CN"/>
        </w:rPr>
        <w:t>2</w:t>
      </w:r>
      <w:r>
        <w:rPr>
          <w:rFonts w:hint="default" w:ascii="Times New Roman" w:hAnsi="Times New Roman" w:eastAsia="方正仿宋_GBK" w:cs="Times New Roman"/>
          <w:b w:val="0"/>
          <w:bCs w:val="0"/>
          <w:i w:val="0"/>
          <w:iCs w:val="0"/>
          <w:caps w:val="0"/>
          <w:color w:val="000000"/>
          <w:spacing w:val="0"/>
          <w:sz w:val="30"/>
          <w:szCs w:val="30"/>
          <w:shd w:val="clear" w:fill="FFFFFF"/>
        </w:rPr>
        <w:t>0日印发</w:t>
      </w:r>
      <w:bookmarkStart w:id="78" w:name="_GoBack"/>
      <w:bookmarkEnd w:id="78"/>
    </w:p>
    <w:sectPr>
      <w:footerReference r:id="rId3" w:type="default"/>
      <w:pgSz w:w="11906" w:h="16838"/>
      <w:pgMar w:top="2041" w:right="1474" w:bottom="130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方正小标宋_GBK">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default"/>
                            </w:rPr>
                          </w:pPr>
                          <w:r>
                            <w:rPr>
                              <w:rFonts w:hint="default"/>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r>
                            <w:rPr>
                              <w:rFonts w:hint="default"/>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3"/>
                      <w:rPr>
                        <w:rFonts w:hint="default"/>
                      </w:rPr>
                    </w:pPr>
                    <w:r>
                      <w:rPr>
                        <w:rFonts w:hint="default"/>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r>
                      <w:rPr>
                        <w:rFonts w:hint="default"/>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xODAzYTY0MmRhZmZmODJlZmVhNGRhY2U2N2M3YTcifQ=="/>
  </w:docVars>
  <w:rsids>
    <w:rsidRoot w:val="5DBCF663"/>
    <w:rsid w:val="0093774A"/>
    <w:rsid w:val="0FE34E65"/>
    <w:rsid w:val="112D33E4"/>
    <w:rsid w:val="14352083"/>
    <w:rsid w:val="1B64DE4B"/>
    <w:rsid w:val="2AA70110"/>
    <w:rsid w:val="34422D11"/>
    <w:rsid w:val="35C63044"/>
    <w:rsid w:val="360F396A"/>
    <w:rsid w:val="3ACB6B56"/>
    <w:rsid w:val="3E3C45C0"/>
    <w:rsid w:val="428C2C04"/>
    <w:rsid w:val="43776B70"/>
    <w:rsid w:val="499F547E"/>
    <w:rsid w:val="4D6B4B4B"/>
    <w:rsid w:val="55391B35"/>
    <w:rsid w:val="5BB57082"/>
    <w:rsid w:val="5DBCF663"/>
    <w:rsid w:val="68715CE9"/>
    <w:rsid w:val="70AB752E"/>
    <w:rsid w:val="74057853"/>
    <w:rsid w:val="79074E4F"/>
    <w:rsid w:val="79B73209"/>
    <w:rsid w:val="7A79F87E"/>
    <w:rsid w:val="FF92C769"/>
    <w:rsid w:val="FFCF33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Calibri" w:hAnsi="Calibri" w:eastAsia="仿宋" w:cs="Times New Roman"/>
      <w:kern w:val="2"/>
      <w:sz w:val="24"/>
      <w:szCs w:val="24"/>
      <w:lang w:val="en-US" w:eastAsia="zh-CN" w:bidi="ar-SA"/>
    </w:rPr>
  </w:style>
  <w:style w:type="paragraph" w:styleId="2">
    <w:name w:val="heading 1"/>
    <w:basedOn w:val="1"/>
    <w:next w:val="1"/>
    <w:qFormat/>
    <w:uiPriority w:val="0"/>
    <w:pPr>
      <w:keepNext/>
      <w:keepLines/>
      <w:spacing w:line="240" w:lineRule="atLeast"/>
      <w:outlineLvl w:val="0"/>
    </w:pPr>
    <w:rPr>
      <w:rFonts w:ascii="Times New Roman" w:hAnsi="Times New Roman"/>
      <w:bCs/>
      <w:kern w:val="44"/>
      <w:szCs w:val="44"/>
    </w:rPr>
  </w:style>
  <w:style w:type="paragraph" w:styleId="3">
    <w:name w:val="heading 2"/>
    <w:basedOn w:val="1"/>
    <w:next w:val="1"/>
    <w:unhideWhenUsed/>
    <w:qFormat/>
    <w:uiPriority w:val="0"/>
    <w:pPr>
      <w:keepNext/>
      <w:keepLines/>
      <w:spacing w:line="440" w:lineRule="exact"/>
      <w:outlineLvl w:val="1"/>
    </w:pPr>
    <w:rPr>
      <w:rFonts w:ascii="Arial" w:hAnsi="Arial"/>
      <w:b/>
      <w:bCs/>
      <w:szCs w:val="32"/>
    </w:rPr>
  </w:style>
  <w:style w:type="paragraph" w:styleId="4">
    <w:name w:val="heading 3"/>
    <w:basedOn w:val="1"/>
    <w:next w:val="1"/>
    <w:unhideWhenUsed/>
    <w:qFormat/>
    <w:uiPriority w:val="0"/>
    <w:pPr>
      <w:keepNext/>
      <w:keepLines/>
      <w:spacing w:line="440" w:lineRule="exact"/>
      <w:outlineLvl w:val="2"/>
    </w:pPr>
    <w:rPr>
      <w:rFonts w:ascii="Times New Roman" w:hAnsi="Times New Roman"/>
      <w:b/>
      <w:bCs/>
      <w:szCs w:val="32"/>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5">
    <w:name w:val="annotation text"/>
    <w:basedOn w:val="1"/>
    <w:uiPriority w:val="0"/>
    <w:pPr>
      <w:jc w:val="left"/>
    </w:pPr>
  </w:style>
  <w:style w:type="paragraph" w:styleId="6">
    <w:name w:val="Body Text"/>
    <w:basedOn w:val="1"/>
    <w:next w:val="7"/>
    <w:qFormat/>
    <w:uiPriority w:val="0"/>
    <w:pPr>
      <w:spacing w:line="440" w:lineRule="exact"/>
    </w:pPr>
    <w:rPr>
      <w:rFonts w:ascii="Times New Roman" w:hAnsi="Times New Roman"/>
      <w:szCs w:val="20"/>
    </w:rPr>
  </w:style>
  <w:style w:type="paragraph" w:customStyle="1" w:styleId="7">
    <w:name w:val="一级条标题"/>
    <w:basedOn w:val="8"/>
    <w:next w:val="9"/>
    <w:qFormat/>
    <w:uiPriority w:val="0"/>
    <w:pPr>
      <w:spacing w:line="240" w:lineRule="auto"/>
      <w:ind w:left="420"/>
      <w:outlineLvl w:val="2"/>
    </w:pPr>
  </w:style>
  <w:style w:type="paragraph" w:customStyle="1" w:styleId="8">
    <w:name w:val="章标题"/>
    <w:next w:val="1"/>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9">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styleId="10">
    <w:name w:val="Body Text Indent"/>
    <w:basedOn w:val="1"/>
    <w:next w:val="11"/>
    <w:qFormat/>
    <w:uiPriority w:val="0"/>
    <w:pPr>
      <w:ind w:firstLine="630"/>
    </w:pPr>
    <w:rPr>
      <w:rFonts w:ascii="Times New Roman" w:hAnsi="Times New Roman" w:eastAsia="宋体" w:cs="Times New Roman"/>
      <w:kern w:val="0"/>
      <w:sz w:val="32"/>
      <w:szCs w:val="24"/>
    </w:rPr>
  </w:style>
  <w:style w:type="paragraph" w:styleId="11">
    <w:name w:val="Body Text First Indent 2"/>
    <w:basedOn w:val="10"/>
    <w:next w:val="12"/>
    <w:qFormat/>
    <w:uiPriority w:val="0"/>
    <w:pPr>
      <w:spacing w:after="120"/>
      <w:ind w:left="420" w:leftChars="200" w:firstLine="420" w:firstLineChars="200"/>
    </w:pPr>
    <w:rPr>
      <w:sz w:val="21"/>
    </w:rPr>
  </w:style>
  <w:style w:type="paragraph" w:customStyle="1" w:styleId="12">
    <w:name w:val="正文1"/>
    <w:qFormat/>
    <w:uiPriority w:val="99"/>
    <w:pPr>
      <w:widowControl w:val="0"/>
      <w:jc w:val="both"/>
    </w:pPr>
    <w:rPr>
      <w:rFonts w:ascii="Calibri" w:hAnsi="Calibri" w:eastAsia="宋体" w:cs="Times New Roman"/>
      <w:kern w:val="2"/>
      <w:sz w:val="21"/>
      <w:szCs w:val="24"/>
      <w:lang w:val="en-US" w:eastAsia="zh-CN" w:bidi="ar-SA"/>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Normal (Web)"/>
    <w:basedOn w:val="1"/>
    <w:next w:val="1"/>
    <w:qFormat/>
    <w:uiPriority w:val="0"/>
    <w:pPr>
      <w:spacing w:before="0" w:beforeAutospacing="1" w:after="0" w:afterAutospacing="1"/>
      <w:ind w:left="0" w:right="0"/>
      <w:jc w:val="left"/>
    </w:pPr>
    <w:rPr>
      <w:kern w:val="0"/>
      <w:sz w:val="24"/>
      <w:lang w:val="en-US" w:eastAsia="zh-CN" w:bidi="ar"/>
    </w:rPr>
  </w:style>
  <w:style w:type="paragraph" w:styleId="16">
    <w:name w:val="Body Text First Indent"/>
    <w:basedOn w:val="6"/>
    <w:next w:val="11"/>
    <w:qFormat/>
    <w:uiPriority w:val="0"/>
    <w:pPr>
      <w:ind w:firstLine="420" w:firstLineChars="100"/>
    </w:pPr>
  </w:style>
  <w:style w:type="paragraph" w:customStyle="1" w:styleId="19">
    <w:name w:val="05正文"/>
    <w:basedOn w:val="1"/>
    <w:qFormat/>
    <w:uiPriority w:val="0"/>
    <w:pPr>
      <w:spacing w:line="560" w:lineRule="exact"/>
      <w:ind w:firstLine="200" w:firstLineChars="200"/>
      <w:jc w:val="both"/>
    </w:pPr>
    <w:rPr>
      <w:rFonts w:ascii="宋体"/>
      <w:sz w:val="28"/>
    </w:rPr>
  </w:style>
  <w:style w:type="paragraph" w:customStyle="1" w:styleId="20">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6879</Words>
  <Characters>6965</Characters>
  <Lines>0</Lines>
  <Paragraphs>0</Paragraphs>
  <TotalTime>53</TotalTime>
  <ScaleCrop>false</ScaleCrop>
  <LinksUpToDate>false</LinksUpToDate>
  <CharactersWithSpaces>6975</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2022-03-30T16:25:00Z</dcterms:created>
  <dc:creator>tongchuyao</dc:creator>
  <cp:lastModifiedBy>童楚尧</cp:lastModifiedBy>
  <dcterms:modified xsi:type="dcterms:W3CDTF">2022-08-17T02:35:55Z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1BBF78C74BBB4C2595E3B1CAA7FCAD91</vt:lpwstr>
  </property>
</Properties>
</file>