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hint="eastAsia" w:ascii="方正小标宋简体" w:hAnsi="Arial" w:eastAsia="方正小标宋简体" w:cs="Arial"/>
          <w:b/>
          <w:bCs/>
          <w:color w:val="666666"/>
          <w:kern w:val="36"/>
          <w:sz w:val="36"/>
          <w:szCs w:val="36"/>
        </w:rPr>
      </w:pPr>
      <w:bookmarkStart w:id="0" w:name="_GoBack"/>
      <w:bookmarkEnd w:id="0"/>
      <w:r>
        <w:rPr>
          <w:rFonts w:hint="eastAsia" w:ascii="方正小标宋简体" w:hAnsi="Arial" w:eastAsia="方正小标宋简体" w:cs="Arial"/>
          <w:b/>
          <w:bCs/>
          <w:color w:val="666666"/>
          <w:kern w:val="36"/>
          <w:sz w:val="36"/>
          <w:szCs w:val="36"/>
        </w:rPr>
        <w:t>国家税务总局云南省税务局关于经营所得个人所得税核定征收有关问题的公告</w:t>
      </w:r>
    </w:p>
    <w:p>
      <w:pPr>
        <w:widowControl/>
        <w:spacing w:before="100" w:beforeAutospacing="1" w:after="100" w:afterAutospacing="1"/>
        <w:jc w:val="center"/>
        <w:outlineLvl w:val="0"/>
        <w:rPr>
          <w:rFonts w:ascii="方正小标宋简体" w:hAnsi="Arial" w:eastAsia="方正小标宋简体" w:cs="Arial"/>
          <w:b/>
          <w:bCs/>
          <w:color w:val="666666"/>
          <w:kern w:val="36"/>
          <w:sz w:val="36"/>
          <w:szCs w:val="36"/>
        </w:rPr>
      </w:pPr>
      <w:r>
        <w:rPr>
          <w:rFonts w:hint="eastAsia" w:ascii="方正小标宋简体" w:hAnsi="Arial" w:eastAsia="方正小标宋简体" w:cs="Arial"/>
          <w:b/>
          <w:bCs/>
          <w:color w:val="666666"/>
          <w:kern w:val="36"/>
          <w:sz w:val="36"/>
          <w:szCs w:val="36"/>
        </w:rPr>
        <w:t>(征求意见稿)</w:t>
      </w:r>
    </w:p>
    <w:p>
      <w:pPr>
        <w:widowControl/>
        <w:spacing w:before="29" w:after="428" w:line="360" w:lineRule="auto"/>
        <w:jc w:val="center"/>
        <w:rPr>
          <w:rFonts w:ascii="仿宋_GB2312" w:hAnsi="Arial" w:eastAsia="仿宋_GB2312" w:cs="Arial"/>
          <w:color w:val="666666"/>
          <w:kern w:val="0"/>
          <w:sz w:val="32"/>
          <w:szCs w:val="32"/>
        </w:rPr>
      </w:pPr>
      <w:r>
        <w:rPr>
          <w:rFonts w:hint="eastAsia" w:ascii="仿宋_GB2312" w:hAnsi="Arial" w:eastAsia="仿宋_GB2312" w:cs="Arial"/>
          <w:color w:val="666666"/>
          <w:kern w:val="0"/>
          <w:sz w:val="32"/>
          <w:szCs w:val="32"/>
        </w:rPr>
        <w:t>国家税务总局云南省税务局公告2018年第  号</w:t>
      </w:r>
    </w:p>
    <w:p>
      <w:pPr>
        <w:widowControl/>
        <w:spacing w:line="360" w:lineRule="auto"/>
        <w:ind w:firstLine="640" w:firstLineChars="200"/>
        <w:jc w:val="left"/>
        <w:rPr>
          <w:rFonts w:ascii="仿宋_GB2312" w:hAnsi="Arial" w:eastAsia="仿宋_GB2312" w:cs="Arial"/>
          <w:color w:val="666666"/>
          <w:kern w:val="0"/>
          <w:sz w:val="32"/>
          <w:szCs w:val="32"/>
        </w:rPr>
      </w:pPr>
      <w:r>
        <w:rPr>
          <w:rFonts w:hint="eastAsia" w:ascii="仿宋_GB2312" w:hAnsi="Arial" w:eastAsia="仿宋_GB2312" w:cs="Arial"/>
          <w:color w:val="666666"/>
          <w:kern w:val="0"/>
          <w:sz w:val="32"/>
          <w:szCs w:val="32"/>
        </w:rPr>
        <w:t>根据《</w:t>
      </w:r>
      <w:r>
        <w:rPr>
          <w:rFonts w:hint="eastAsia" w:ascii="仿宋_GB2312" w:hAnsi="Arial" w:eastAsia="仿宋_GB2312" w:cs="Arial"/>
          <w:color w:val="666666"/>
          <w:kern w:val="0"/>
          <w:sz w:val="32"/>
          <w:szCs w:val="32"/>
          <w:lang w:eastAsia="zh-CN"/>
        </w:rPr>
        <w:t>中华人民共和国税收征收管理法</w:t>
      </w:r>
      <w:r>
        <w:rPr>
          <w:rFonts w:hint="eastAsia" w:ascii="仿宋_GB2312" w:hAnsi="Arial" w:eastAsia="仿宋_GB2312" w:cs="Arial"/>
          <w:color w:val="666666"/>
          <w:kern w:val="0"/>
          <w:sz w:val="32"/>
          <w:szCs w:val="32"/>
        </w:rPr>
        <w:t>》及其实施细则、十三届全国人大常委会第五次会议审议通过的《关于修改〈中华人民共和国个人所得税法〉的决定》《财政部 税务总局关于2018年第四季度个人所得税减除费用和税率适用问题的通知》（财税〔2018〕98号）等相关税收法律法规的规定，现就我省经营所得个人所得税核定征收管理有关问题公告如下：</w:t>
      </w:r>
    </w:p>
    <w:p>
      <w:pPr>
        <w:ind w:firstLine="640" w:firstLineChars="200"/>
        <w:rPr>
          <w:rFonts w:ascii="仿宋_GB2312" w:hAnsi="Arial" w:eastAsia="仿宋_GB2312" w:cs="Arial"/>
          <w:color w:val="666666"/>
          <w:kern w:val="0"/>
          <w:sz w:val="32"/>
          <w:szCs w:val="32"/>
        </w:rPr>
      </w:pPr>
      <w:r>
        <w:rPr>
          <w:rFonts w:hint="eastAsia" w:ascii="仿宋_GB2312" w:hAnsi="Arial" w:eastAsia="仿宋_GB2312" w:cs="Arial"/>
          <w:color w:val="666666"/>
          <w:kern w:val="0"/>
          <w:sz w:val="32"/>
          <w:szCs w:val="32"/>
        </w:rPr>
        <w:t>一、凡不符合查账征收条件，又不能准确核算收入和成本费用的个体工商户业主和个人独资企业投资者，其取得的经营所得采用定期定额方式征收个人所得税。</w:t>
      </w:r>
    </w:p>
    <w:p>
      <w:pPr>
        <w:ind w:firstLine="640" w:firstLineChars="200"/>
        <w:rPr>
          <w:rFonts w:ascii="仿宋_GB2312" w:hAnsi="Arial" w:eastAsia="仿宋_GB2312" w:cs="Arial"/>
          <w:color w:val="666666"/>
          <w:kern w:val="0"/>
          <w:sz w:val="32"/>
          <w:szCs w:val="32"/>
        </w:rPr>
      </w:pPr>
      <w:r>
        <w:rPr>
          <w:rFonts w:hint="eastAsia" w:ascii="仿宋_GB2312" w:hAnsi="Arial" w:eastAsia="仿宋_GB2312" w:cs="Arial"/>
          <w:color w:val="666666"/>
          <w:kern w:val="0"/>
          <w:sz w:val="32"/>
          <w:szCs w:val="32"/>
        </w:rPr>
        <w:t>（一）应纳税额计算公式：</w:t>
      </w:r>
    </w:p>
    <w:p>
      <w:pPr>
        <w:ind w:firstLine="640" w:firstLineChars="200"/>
        <w:rPr>
          <w:rFonts w:ascii="仿宋_GB2312" w:hAnsi="Arial" w:eastAsia="仿宋_GB2312" w:cs="Arial"/>
          <w:color w:val="666666"/>
          <w:kern w:val="0"/>
          <w:sz w:val="32"/>
          <w:szCs w:val="32"/>
        </w:rPr>
      </w:pPr>
      <w:r>
        <w:rPr>
          <w:rFonts w:hint="eastAsia" w:ascii="仿宋_GB2312" w:hAnsi="Arial" w:eastAsia="仿宋_GB2312" w:cs="Arial"/>
          <w:color w:val="666666"/>
          <w:kern w:val="0"/>
          <w:sz w:val="32"/>
          <w:szCs w:val="32"/>
        </w:rPr>
        <w:t>应纳税额=核定收入总额（不含增值税）×附征率</w:t>
      </w:r>
    </w:p>
    <w:p>
      <w:pPr>
        <w:ind w:firstLine="640" w:firstLineChars="200"/>
        <w:rPr>
          <w:rFonts w:ascii="仿宋_GB2312" w:hAnsi="Arial" w:eastAsia="仿宋_GB2312" w:cs="Arial"/>
          <w:color w:val="666666"/>
          <w:kern w:val="0"/>
          <w:sz w:val="32"/>
          <w:szCs w:val="32"/>
        </w:rPr>
      </w:pPr>
      <w:r>
        <w:rPr>
          <w:rFonts w:hint="eastAsia" w:ascii="仿宋_GB2312" w:hAnsi="Arial" w:eastAsia="仿宋_GB2312" w:cs="Arial"/>
          <w:color w:val="666666"/>
          <w:kern w:val="0"/>
          <w:sz w:val="32"/>
          <w:szCs w:val="32"/>
        </w:rPr>
        <w:t>（二）附征率按《个人所得税附征率表》（见附件1）执行。</w:t>
      </w:r>
    </w:p>
    <w:p>
      <w:pPr>
        <w:ind w:firstLine="640" w:firstLineChars="200"/>
        <w:rPr>
          <w:rFonts w:ascii="仿宋_GB2312" w:hAnsi="Arial" w:eastAsia="仿宋_GB2312" w:cs="Arial"/>
          <w:color w:val="666666"/>
          <w:kern w:val="0"/>
          <w:sz w:val="32"/>
          <w:szCs w:val="32"/>
        </w:rPr>
      </w:pPr>
      <w:r>
        <w:rPr>
          <w:rFonts w:hint="eastAsia" w:ascii="仿宋_GB2312" w:hAnsi="Arial" w:eastAsia="仿宋_GB2312" w:cs="Arial"/>
          <w:color w:val="666666"/>
          <w:kern w:val="0"/>
          <w:sz w:val="32"/>
          <w:szCs w:val="32"/>
        </w:rPr>
        <w:t>二、凡不符合查账征收条件，但能准确核算收入或成本费用的个体工商户业主、个人独资企业投资者，以及不符合查账征收条件的合伙企业自然人投资者、企事业单位承包承租经营者，其取得的经营所得采用核定应税所得率方式征收个人所得税。</w:t>
      </w:r>
    </w:p>
    <w:p>
      <w:pPr>
        <w:ind w:firstLine="640" w:firstLineChars="200"/>
        <w:rPr>
          <w:rFonts w:ascii="仿宋_GB2312" w:hAnsi="Arial" w:eastAsia="仿宋_GB2312" w:cs="Arial"/>
          <w:color w:val="666666"/>
          <w:kern w:val="0"/>
          <w:sz w:val="32"/>
          <w:szCs w:val="32"/>
        </w:rPr>
      </w:pPr>
      <w:r>
        <w:rPr>
          <w:rFonts w:hint="eastAsia" w:ascii="仿宋_GB2312" w:hAnsi="Arial" w:eastAsia="仿宋_GB2312" w:cs="Arial"/>
          <w:color w:val="666666"/>
          <w:kern w:val="0"/>
          <w:sz w:val="32"/>
          <w:szCs w:val="32"/>
        </w:rPr>
        <w:t>（一）应纳税额计算公式：</w:t>
      </w:r>
    </w:p>
    <w:p>
      <w:pPr>
        <w:pStyle w:val="5"/>
        <w:shd w:val="clear" w:color="auto" w:fill="FFFFFF"/>
        <w:spacing w:beforeAutospacing="0" w:afterAutospacing="0" w:line="360" w:lineRule="auto"/>
        <w:ind w:firstLine="640" w:firstLineChars="200"/>
        <w:rPr>
          <w:rFonts w:ascii="仿宋_GB2312" w:hAnsi="Arial" w:eastAsia="仿宋_GB2312" w:cs="Arial"/>
          <w:color w:val="666666"/>
          <w:sz w:val="32"/>
          <w:szCs w:val="32"/>
        </w:rPr>
      </w:pPr>
      <w:r>
        <w:rPr>
          <w:rFonts w:hint="eastAsia" w:ascii="仿宋_GB2312" w:hAnsi="Arial" w:eastAsia="仿宋_GB2312" w:cs="Arial"/>
          <w:color w:val="666666"/>
          <w:sz w:val="32"/>
          <w:szCs w:val="32"/>
        </w:rPr>
        <w:t>应纳税额＝应纳税所得额×适用税率 </w:t>
      </w:r>
    </w:p>
    <w:p>
      <w:pPr>
        <w:pStyle w:val="5"/>
        <w:shd w:val="clear" w:color="auto" w:fill="FFFFFF"/>
        <w:spacing w:beforeAutospacing="0" w:afterAutospacing="0" w:line="360" w:lineRule="auto"/>
        <w:ind w:firstLine="640" w:firstLineChars="200"/>
        <w:rPr>
          <w:rFonts w:ascii="仿宋_GB2312" w:hAnsi="Arial" w:eastAsia="仿宋_GB2312" w:cs="Arial"/>
          <w:color w:val="666666"/>
          <w:sz w:val="32"/>
          <w:szCs w:val="32"/>
        </w:rPr>
      </w:pPr>
      <w:r>
        <w:rPr>
          <w:rFonts w:hint="eastAsia" w:ascii="仿宋_GB2312" w:hAnsi="Arial" w:eastAsia="仿宋_GB2312" w:cs="Arial"/>
          <w:color w:val="666666"/>
          <w:sz w:val="32"/>
          <w:szCs w:val="32"/>
        </w:rPr>
        <w:t>应纳税所得额＝收入总额（不含增值税）×应税所得率</w:t>
      </w:r>
    </w:p>
    <w:p>
      <w:pPr>
        <w:pStyle w:val="5"/>
        <w:shd w:val="clear" w:color="auto" w:fill="FFFFFF"/>
        <w:spacing w:beforeAutospacing="0" w:afterAutospacing="0" w:line="360" w:lineRule="auto"/>
        <w:ind w:firstLine="2272" w:firstLineChars="710"/>
        <w:rPr>
          <w:rFonts w:ascii="仿宋_GB2312" w:hAnsi="Arial" w:eastAsia="仿宋_GB2312" w:cs="Arial"/>
          <w:color w:val="666666"/>
          <w:sz w:val="32"/>
          <w:szCs w:val="32"/>
        </w:rPr>
      </w:pPr>
      <w:r>
        <w:rPr>
          <w:rFonts w:hint="eastAsia" w:ascii="仿宋_GB2312" w:hAnsi="Arial" w:eastAsia="仿宋_GB2312" w:cs="Arial"/>
          <w:color w:val="666666"/>
          <w:sz w:val="32"/>
          <w:szCs w:val="32"/>
        </w:rPr>
        <w:t>或＝成本费用支出额÷(1-应税所得率)×</w:t>
      </w:r>
    </w:p>
    <w:p>
      <w:pPr>
        <w:pStyle w:val="5"/>
        <w:shd w:val="clear" w:color="auto" w:fill="FFFFFF"/>
        <w:spacing w:beforeAutospacing="0" w:afterAutospacing="0" w:line="360" w:lineRule="auto"/>
        <w:ind w:firstLine="2272" w:firstLineChars="710"/>
        <w:rPr>
          <w:rFonts w:ascii="仿宋_GB2312" w:hAnsi="Arial" w:eastAsia="仿宋_GB2312" w:cs="Arial"/>
          <w:color w:val="666666"/>
          <w:sz w:val="32"/>
          <w:szCs w:val="32"/>
        </w:rPr>
      </w:pPr>
      <w:r>
        <w:rPr>
          <w:rFonts w:hint="eastAsia" w:ascii="仿宋_GB2312" w:hAnsi="Arial" w:eastAsia="仿宋_GB2312" w:cs="Arial"/>
          <w:color w:val="666666"/>
          <w:sz w:val="32"/>
          <w:szCs w:val="32"/>
        </w:rPr>
        <w:t xml:space="preserve">    应税所得率</w:t>
      </w:r>
    </w:p>
    <w:p>
      <w:pPr>
        <w:pStyle w:val="5"/>
        <w:shd w:val="clear" w:color="auto" w:fill="FFFFFF"/>
        <w:spacing w:beforeAutospacing="0" w:afterAutospacing="0" w:line="360" w:lineRule="auto"/>
        <w:ind w:firstLine="640" w:firstLineChars="200"/>
        <w:rPr>
          <w:rFonts w:ascii="仿宋_GB2312" w:hAnsi="Arial" w:eastAsia="仿宋_GB2312" w:cs="Arial"/>
          <w:color w:val="666666"/>
          <w:sz w:val="32"/>
          <w:szCs w:val="32"/>
        </w:rPr>
      </w:pPr>
      <w:r>
        <w:rPr>
          <w:rFonts w:hint="eastAsia" w:ascii="仿宋_GB2312" w:hAnsi="Arial" w:eastAsia="仿宋_GB2312" w:cs="Arial"/>
          <w:color w:val="666666"/>
          <w:sz w:val="32"/>
          <w:szCs w:val="32"/>
        </w:rPr>
        <w:t>（二）应税所得率按《个人所得税应税所得率表》（见附件2）执行。</w:t>
      </w:r>
    </w:p>
    <w:p>
      <w:pPr>
        <w:pStyle w:val="5"/>
        <w:shd w:val="clear" w:color="auto" w:fill="FFFFFF"/>
        <w:spacing w:beforeAutospacing="0" w:afterAutospacing="0" w:line="360" w:lineRule="auto"/>
        <w:ind w:firstLine="640" w:firstLineChars="200"/>
        <w:rPr>
          <w:rFonts w:ascii="仿宋_GB2312" w:hAnsi="Arial" w:eastAsia="仿宋_GB2312" w:cs="Arial"/>
          <w:color w:val="666666"/>
          <w:sz w:val="32"/>
          <w:szCs w:val="32"/>
        </w:rPr>
      </w:pPr>
      <w:r>
        <w:rPr>
          <w:rFonts w:hint="eastAsia" w:ascii="仿宋_GB2312" w:hAnsi="Arial" w:eastAsia="仿宋_GB2312" w:cs="Arial"/>
          <w:color w:val="666666"/>
          <w:sz w:val="32"/>
          <w:szCs w:val="32"/>
        </w:rPr>
        <w:t>三、纳税人经营多个项目的，无论其经营项目是否单独核算，均应根据其主营项目所属行业(以实际营业额占总营业额最大比例为主营项目)确定适用的附征率或应税所得率。</w:t>
      </w:r>
    </w:p>
    <w:p>
      <w:pPr>
        <w:pStyle w:val="5"/>
        <w:shd w:val="clear" w:color="auto" w:fill="FFFFFF"/>
        <w:spacing w:beforeAutospacing="0" w:afterAutospacing="0" w:line="360" w:lineRule="auto"/>
        <w:ind w:firstLine="640" w:firstLineChars="200"/>
        <w:rPr>
          <w:rFonts w:ascii="仿宋_GB2312" w:hAnsi="Arial" w:eastAsia="仿宋_GB2312" w:cs="Arial"/>
          <w:color w:val="666666"/>
          <w:sz w:val="32"/>
          <w:szCs w:val="32"/>
        </w:rPr>
      </w:pPr>
      <w:r>
        <w:rPr>
          <w:rFonts w:hint="eastAsia" w:ascii="仿宋_GB2312" w:hAnsi="Arial" w:eastAsia="仿宋_GB2312" w:cs="Arial"/>
          <w:color w:val="666666"/>
          <w:sz w:val="32"/>
          <w:szCs w:val="32"/>
        </w:rPr>
        <w:t>四、本公告自2018年10月1日起施行。《云南省地方税务局关于个体工商户定期定额征收个人所得税附征率问题的意见》（云南省地方税务局公告2011年第6号）同时废止。</w:t>
      </w:r>
    </w:p>
    <w:p>
      <w:pPr>
        <w:widowControl/>
        <w:spacing w:before="100" w:beforeAutospacing="1" w:after="100" w:afterAutospacing="1" w:line="360" w:lineRule="auto"/>
        <w:ind w:firstLine="640" w:firstLineChars="200"/>
        <w:jc w:val="left"/>
        <w:rPr>
          <w:rFonts w:ascii="仿宋_GB2312" w:hAnsi="Arial" w:eastAsia="仿宋_GB2312" w:cs="Arial"/>
          <w:color w:val="666666"/>
          <w:kern w:val="0"/>
          <w:sz w:val="32"/>
          <w:szCs w:val="32"/>
        </w:rPr>
      </w:pPr>
      <w:r>
        <w:rPr>
          <w:rFonts w:hint="eastAsia" w:ascii="仿宋_GB2312" w:hAnsi="Arial" w:eastAsia="仿宋_GB2312" w:cs="Arial"/>
          <w:color w:val="666666"/>
          <w:kern w:val="0"/>
          <w:sz w:val="32"/>
          <w:szCs w:val="32"/>
        </w:rPr>
        <w:t>特此公告。</w:t>
      </w:r>
    </w:p>
    <w:p>
      <w:pPr>
        <w:widowControl/>
        <w:spacing w:before="100" w:beforeAutospacing="1" w:after="100" w:afterAutospacing="1"/>
        <w:jc w:val="left"/>
        <w:rPr>
          <w:rFonts w:ascii="仿宋_GB2312" w:hAnsi="Arial" w:eastAsia="仿宋_GB2312" w:cs="Arial"/>
          <w:color w:val="666666"/>
          <w:kern w:val="0"/>
          <w:sz w:val="32"/>
          <w:szCs w:val="32"/>
        </w:rPr>
      </w:pPr>
      <w:r>
        <w:rPr>
          <w:rFonts w:hint="eastAsia" w:ascii="仿宋_GB2312" w:hAnsi="Arial" w:eastAsia="仿宋_GB2312" w:cs="Arial"/>
          <w:color w:val="666666"/>
          <w:kern w:val="0"/>
          <w:sz w:val="32"/>
          <w:szCs w:val="32"/>
        </w:rPr>
        <w:t>　　附件：1. 个人所得税附征率表</w:t>
      </w:r>
    </w:p>
    <w:p>
      <w:pPr>
        <w:widowControl/>
        <w:spacing w:before="100" w:beforeAutospacing="1" w:after="100" w:afterAutospacing="1"/>
        <w:ind w:firstLine="32" w:firstLineChars="10"/>
        <w:jc w:val="left"/>
        <w:rPr>
          <w:rFonts w:ascii="仿宋_GB2312" w:hAnsi="Arial" w:eastAsia="仿宋_GB2312" w:cs="Arial"/>
          <w:color w:val="666666"/>
          <w:kern w:val="0"/>
          <w:sz w:val="32"/>
          <w:szCs w:val="32"/>
        </w:rPr>
      </w:pPr>
      <w:r>
        <w:rPr>
          <w:rFonts w:hint="eastAsia" w:ascii="仿宋_GB2312" w:hAnsi="Arial" w:eastAsia="仿宋_GB2312" w:cs="Arial"/>
          <w:color w:val="666666"/>
          <w:kern w:val="0"/>
          <w:sz w:val="32"/>
          <w:szCs w:val="32"/>
        </w:rPr>
        <w:t>　　      2. 个人所得税应税所得率表</w:t>
      </w:r>
    </w:p>
    <w:p>
      <w:pPr>
        <w:widowControl/>
        <w:jc w:val="left"/>
        <w:rPr>
          <w:rFonts w:ascii="仿宋_GB2312" w:hAnsi="Arial" w:eastAsia="仿宋_GB2312" w:cs="Arial"/>
          <w:color w:val="666666"/>
          <w:kern w:val="0"/>
          <w:sz w:val="32"/>
          <w:szCs w:val="32"/>
        </w:rPr>
      </w:pPr>
      <w:r>
        <w:rPr>
          <w:rFonts w:hint="eastAsia" w:ascii="Arial" w:hAnsi="Arial" w:eastAsia="仿宋_GB2312" w:cs="Arial"/>
          <w:color w:val="666666"/>
          <w:kern w:val="0"/>
          <w:sz w:val="32"/>
          <w:szCs w:val="32"/>
        </w:rPr>
        <w:t> </w:t>
      </w:r>
    </w:p>
    <w:p>
      <w:pPr>
        <w:widowControl/>
        <w:jc w:val="left"/>
        <w:rPr>
          <w:rFonts w:ascii="仿宋_GB2312" w:hAnsi="Arial" w:eastAsia="仿宋_GB2312" w:cs="Arial"/>
          <w:color w:val="666666"/>
          <w:kern w:val="0"/>
          <w:sz w:val="32"/>
          <w:szCs w:val="32"/>
        </w:rPr>
      </w:pPr>
    </w:p>
    <w:p>
      <w:pPr>
        <w:widowControl/>
        <w:spacing w:before="100" w:beforeAutospacing="1" w:after="100" w:afterAutospacing="1"/>
        <w:jc w:val="right"/>
        <w:rPr>
          <w:rFonts w:ascii="仿宋_GB2312" w:hAnsi="Arial" w:eastAsia="仿宋_GB2312" w:cs="Arial"/>
          <w:color w:val="666666"/>
          <w:kern w:val="0"/>
          <w:sz w:val="32"/>
          <w:szCs w:val="32"/>
        </w:rPr>
      </w:pPr>
      <w:r>
        <w:rPr>
          <w:rFonts w:hint="eastAsia" w:ascii="仿宋_GB2312" w:hAnsi="Arial" w:eastAsia="仿宋_GB2312" w:cs="Arial"/>
          <w:color w:val="666666"/>
          <w:kern w:val="0"/>
          <w:sz w:val="32"/>
          <w:szCs w:val="32"/>
        </w:rPr>
        <w:t>　　国家税务总局云南省税务局</w:t>
      </w:r>
    </w:p>
    <w:p>
      <w:pPr>
        <w:widowControl/>
        <w:spacing w:before="100" w:beforeAutospacing="1" w:after="100" w:afterAutospacing="1"/>
        <w:jc w:val="right"/>
        <w:rPr>
          <w:rFonts w:ascii="Arial" w:hAnsi="Arial" w:eastAsia="宋体" w:cs="Arial"/>
          <w:color w:val="666666"/>
          <w:kern w:val="0"/>
          <w:sz w:val="17"/>
          <w:szCs w:val="17"/>
        </w:rPr>
      </w:pPr>
      <w:r>
        <w:rPr>
          <w:rFonts w:hint="eastAsia" w:ascii="仿宋_GB2312" w:hAnsi="Arial" w:eastAsia="仿宋_GB2312" w:cs="Arial"/>
          <w:color w:val="666666"/>
          <w:kern w:val="0"/>
          <w:sz w:val="32"/>
          <w:szCs w:val="32"/>
        </w:rPr>
        <w:t>　　2018年  月  日</w:t>
      </w:r>
      <w:r>
        <w:rPr>
          <w:rFonts w:ascii="Arial" w:hAnsi="Arial" w:eastAsia="宋体" w:cs="Arial"/>
          <w:color w:val="666666"/>
          <w:kern w:val="0"/>
          <w:sz w:val="17"/>
          <w:szCs w:val="17"/>
        </w:rPr>
        <w:t> </w:t>
      </w:r>
    </w:p>
    <w:p>
      <w:pPr>
        <w:widowControl/>
        <w:spacing w:before="100" w:beforeAutospacing="1" w:after="100" w:afterAutospacing="1"/>
        <w:jc w:val="right"/>
        <w:rPr>
          <w:rFonts w:ascii="Arial" w:hAnsi="Arial" w:eastAsia="宋体" w:cs="Arial"/>
          <w:color w:val="666666"/>
          <w:kern w:val="0"/>
          <w:sz w:val="17"/>
          <w:szCs w:val="17"/>
        </w:rPr>
      </w:pPr>
    </w:p>
    <w:p>
      <w:pPr>
        <w:widowControl/>
        <w:spacing w:before="100" w:beforeAutospacing="1" w:after="100" w:afterAutospacing="1"/>
        <w:jc w:val="right"/>
        <w:rPr>
          <w:rFonts w:ascii="Arial" w:hAnsi="Arial" w:eastAsia="宋体" w:cs="Arial"/>
          <w:color w:val="666666"/>
          <w:kern w:val="0"/>
          <w:sz w:val="17"/>
          <w:szCs w:val="17"/>
        </w:rPr>
      </w:pPr>
    </w:p>
    <w:p>
      <w:pPr>
        <w:widowControl/>
        <w:spacing w:before="100" w:beforeAutospacing="1" w:after="100" w:afterAutospacing="1"/>
        <w:jc w:val="right"/>
        <w:rPr>
          <w:rFonts w:ascii="Arial" w:hAnsi="Arial" w:eastAsia="宋体" w:cs="Arial"/>
          <w:color w:val="666666"/>
          <w:kern w:val="0"/>
          <w:sz w:val="17"/>
          <w:szCs w:val="17"/>
        </w:rPr>
      </w:pPr>
    </w:p>
    <w:p>
      <w:pPr>
        <w:widowControl/>
        <w:spacing w:before="100" w:beforeAutospacing="1" w:after="100" w:afterAutospacing="1"/>
        <w:jc w:val="right"/>
        <w:rPr>
          <w:rFonts w:ascii="Arial" w:hAnsi="Arial" w:eastAsia="宋体" w:cs="Arial"/>
          <w:color w:val="666666"/>
          <w:kern w:val="0"/>
          <w:sz w:val="17"/>
          <w:szCs w:val="17"/>
        </w:rPr>
      </w:pPr>
    </w:p>
    <w:p>
      <w:pPr>
        <w:widowControl/>
        <w:spacing w:before="100" w:beforeAutospacing="1" w:after="100" w:afterAutospacing="1"/>
        <w:jc w:val="right"/>
        <w:rPr>
          <w:rFonts w:ascii="Arial" w:hAnsi="Arial" w:eastAsia="宋体" w:cs="Arial"/>
          <w:color w:val="666666"/>
          <w:kern w:val="0"/>
          <w:sz w:val="17"/>
          <w:szCs w:val="17"/>
        </w:rPr>
      </w:pPr>
    </w:p>
    <w:p>
      <w:pPr>
        <w:widowControl/>
        <w:spacing w:before="100" w:beforeAutospacing="1" w:after="100" w:afterAutospacing="1"/>
        <w:jc w:val="right"/>
        <w:rPr>
          <w:rFonts w:ascii="Arial" w:hAnsi="Arial" w:eastAsia="宋体" w:cs="Arial"/>
          <w:color w:val="666666"/>
          <w:kern w:val="0"/>
          <w:sz w:val="17"/>
          <w:szCs w:val="17"/>
        </w:rPr>
      </w:pPr>
    </w:p>
    <w:p>
      <w:pPr>
        <w:widowControl/>
        <w:spacing w:before="100" w:beforeAutospacing="1" w:after="100" w:afterAutospacing="1"/>
        <w:jc w:val="right"/>
        <w:rPr>
          <w:rFonts w:ascii="Arial" w:hAnsi="Arial" w:eastAsia="宋体" w:cs="Arial"/>
          <w:color w:val="666666"/>
          <w:kern w:val="0"/>
          <w:sz w:val="17"/>
          <w:szCs w:val="17"/>
        </w:rPr>
      </w:pPr>
    </w:p>
    <w:p>
      <w:pPr>
        <w:widowControl/>
        <w:spacing w:before="100" w:beforeAutospacing="1" w:after="100" w:afterAutospacing="1"/>
        <w:jc w:val="right"/>
        <w:rPr>
          <w:rFonts w:ascii="Arial" w:hAnsi="Arial" w:eastAsia="宋体" w:cs="Arial"/>
          <w:color w:val="666666"/>
          <w:kern w:val="0"/>
          <w:sz w:val="17"/>
          <w:szCs w:val="17"/>
        </w:rPr>
      </w:pPr>
    </w:p>
    <w:p>
      <w:pPr>
        <w:widowControl/>
        <w:spacing w:before="100" w:beforeAutospacing="1" w:after="100" w:afterAutospacing="1"/>
        <w:jc w:val="right"/>
        <w:rPr>
          <w:rFonts w:ascii="Arial" w:hAnsi="Arial" w:eastAsia="宋体" w:cs="Arial"/>
          <w:color w:val="666666"/>
          <w:kern w:val="0"/>
          <w:sz w:val="17"/>
          <w:szCs w:val="17"/>
        </w:rPr>
      </w:pPr>
    </w:p>
    <w:p>
      <w:pPr>
        <w:widowControl/>
        <w:spacing w:before="100" w:beforeAutospacing="1" w:after="100" w:afterAutospacing="1"/>
        <w:jc w:val="right"/>
        <w:rPr>
          <w:rFonts w:ascii="Arial" w:hAnsi="Arial" w:eastAsia="宋体" w:cs="Arial"/>
          <w:color w:val="666666"/>
          <w:kern w:val="0"/>
          <w:sz w:val="17"/>
          <w:szCs w:val="17"/>
        </w:rPr>
      </w:pPr>
    </w:p>
    <w:p>
      <w:pPr>
        <w:widowControl/>
        <w:spacing w:before="100" w:beforeAutospacing="1" w:after="100" w:afterAutospacing="1"/>
        <w:jc w:val="left"/>
        <w:rPr>
          <w:rFonts w:ascii="仿宋_GB2312" w:hAnsi="Arial" w:eastAsia="仿宋_GB2312" w:cs="Arial"/>
          <w:color w:val="666666"/>
          <w:kern w:val="0"/>
          <w:sz w:val="32"/>
          <w:szCs w:val="17"/>
        </w:rPr>
      </w:pPr>
    </w:p>
    <w:p>
      <w:pPr>
        <w:widowControl/>
        <w:spacing w:before="100" w:beforeAutospacing="1" w:after="100" w:afterAutospacing="1"/>
        <w:jc w:val="left"/>
        <w:rPr>
          <w:rFonts w:ascii="仿宋_GB2312" w:hAnsi="Arial" w:eastAsia="仿宋_GB2312" w:cs="Arial"/>
          <w:color w:val="666666"/>
          <w:kern w:val="0"/>
          <w:sz w:val="32"/>
          <w:szCs w:val="17"/>
        </w:rPr>
      </w:pPr>
    </w:p>
    <w:p>
      <w:pPr>
        <w:widowControl/>
        <w:spacing w:before="100" w:beforeAutospacing="1" w:after="100" w:afterAutospacing="1"/>
        <w:jc w:val="left"/>
        <w:rPr>
          <w:rFonts w:ascii="仿宋_GB2312" w:hAnsi="Arial" w:eastAsia="仿宋_GB2312" w:cs="Arial"/>
          <w:color w:val="666666"/>
          <w:kern w:val="0"/>
          <w:sz w:val="32"/>
          <w:szCs w:val="17"/>
        </w:rPr>
      </w:pPr>
    </w:p>
    <w:p>
      <w:pPr>
        <w:widowControl/>
        <w:spacing w:before="100" w:beforeAutospacing="1" w:after="100" w:afterAutospacing="1"/>
        <w:jc w:val="left"/>
        <w:rPr>
          <w:rFonts w:ascii="仿宋_GB2312" w:hAnsi="Arial" w:eastAsia="仿宋_GB2312" w:cs="Arial"/>
          <w:color w:val="666666"/>
          <w:kern w:val="0"/>
          <w:sz w:val="32"/>
          <w:szCs w:val="17"/>
        </w:rPr>
      </w:pPr>
    </w:p>
    <w:p>
      <w:pPr>
        <w:widowControl/>
        <w:spacing w:before="100" w:beforeAutospacing="1" w:after="100" w:afterAutospacing="1"/>
        <w:jc w:val="left"/>
        <w:rPr>
          <w:rFonts w:ascii="仿宋_GB2312" w:hAnsi="Arial" w:eastAsia="仿宋_GB2312" w:cs="Arial"/>
          <w:color w:val="666666"/>
          <w:kern w:val="0"/>
          <w:sz w:val="32"/>
          <w:szCs w:val="17"/>
        </w:rPr>
      </w:pPr>
    </w:p>
    <w:p>
      <w:pPr>
        <w:widowControl/>
        <w:spacing w:before="100" w:beforeAutospacing="1" w:after="100" w:afterAutospacing="1"/>
        <w:jc w:val="left"/>
        <w:rPr>
          <w:rFonts w:ascii="仿宋_GB2312" w:hAnsi="Arial" w:eastAsia="仿宋_GB2312" w:cs="Arial"/>
          <w:color w:val="666666"/>
          <w:kern w:val="0"/>
          <w:sz w:val="32"/>
          <w:szCs w:val="17"/>
        </w:rPr>
      </w:pPr>
    </w:p>
    <w:p>
      <w:pPr>
        <w:widowControl/>
        <w:spacing w:before="100" w:beforeAutospacing="1" w:after="100" w:afterAutospacing="1"/>
        <w:jc w:val="left"/>
        <w:rPr>
          <w:rFonts w:ascii="仿宋_GB2312" w:hAnsi="Arial" w:eastAsia="仿宋_GB2312" w:cs="Arial"/>
          <w:color w:val="666666"/>
          <w:kern w:val="0"/>
          <w:sz w:val="32"/>
          <w:szCs w:val="17"/>
        </w:rPr>
      </w:pPr>
    </w:p>
    <w:p>
      <w:pPr>
        <w:widowControl/>
        <w:spacing w:before="100" w:beforeAutospacing="1" w:after="100" w:afterAutospacing="1"/>
        <w:jc w:val="left"/>
        <w:rPr>
          <w:rFonts w:ascii="仿宋_GB2312" w:hAnsi="Arial" w:eastAsia="仿宋_GB2312" w:cs="Arial"/>
          <w:color w:val="666666"/>
          <w:kern w:val="0"/>
          <w:sz w:val="32"/>
          <w:szCs w:val="17"/>
        </w:rPr>
      </w:pPr>
      <w:r>
        <w:rPr>
          <w:rFonts w:hint="eastAsia" w:ascii="仿宋_GB2312" w:hAnsi="Arial" w:eastAsia="仿宋_GB2312" w:cs="Arial"/>
          <w:color w:val="666666"/>
          <w:kern w:val="0"/>
          <w:sz w:val="32"/>
          <w:szCs w:val="17"/>
        </w:rPr>
        <w:t>附件1:</w:t>
      </w:r>
    </w:p>
    <w:tbl>
      <w:tblPr>
        <w:tblStyle w:val="6"/>
        <w:tblW w:w="5000" w:type="pct"/>
        <w:tblInd w:w="0" w:type="dxa"/>
        <w:tblLayout w:type="autofit"/>
        <w:tblCellMar>
          <w:top w:w="0" w:type="dxa"/>
          <w:left w:w="108" w:type="dxa"/>
          <w:bottom w:w="0" w:type="dxa"/>
          <w:right w:w="108" w:type="dxa"/>
        </w:tblCellMar>
      </w:tblPr>
      <w:tblGrid>
        <w:gridCol w:w="2730"/>
        <w:gridCol w:w="3059"/>
        <w:gridCol w:w="2733"/>
      </w:tblGrid>
      <w:tr>
        <w:tblPrEx>
          <w:tblCellMar>
            <w:top w:w="0" w:type="dxa"/>
            <w:left w:w="108" w:type="dxa"/>
            <w:bottom w:w="0" w:type="dxa"/>
            <w:right w:w="108" w:type="dxa"/>
          </w:tblCellMar>
        </w:tblPrEx>
        <w:trPr>
          <w:trHeight w:val="930" w:hRule="atLeast"/>
        </w:trPr>
        <w:tc>
          <w:tcPr>
            <w:tcW w:w="1602" w:type="pct"/>
            <w:tcBorders>
              <w:top w:val="nil"/>
              <w:left w:val="nil"/>
              <w:bottom w:val="nil"/>
              <w:right w:val="nil"/>
            </w:tcBorders>
          </w:tcPr>
          <w:p>
            <w:pPr>
              <w:widowControl/>
              <w:jc w:val="center"/>
              <w:rPr>
                <w:rFonts w:ascii="仿宋_GB2312" w:hAnsi="宋体" w:eastAsia="仿宋_GB2312" w:cs="宋体"/>
                <w:color w:val="000000"/>
                <w:kern w:val="0"/>
                <w:sz w:val="32"/>
                <w:szCs w:val="32"/>
              </w:rPr>
            </w:pPr>
          </w:p>
        </w:tc>
        <w:tc>
          <w:tcPr>
            <w:tcW w:w="3398" w:type="pct"/>
            <w:gridSpan w:val="2"/>
            <w:tcBorders>
              <w:top w:val="nil"/>
              <w:left w:val="nil"/>
              <w:bottom w:val="nil"/>
              <w:right w:val="nil"/>
            </w:tcBorders>
            <w:shd w:val="clear" w:color="auto" w:fill="auto"/>
            <w:noWrap/>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个人所得税附征率表</w:t>
            </w:r>
          </w:p>
        </w:tc>
      </w:tr>
      <w:tr>
        <w:tblPrEx>
          <w:tblCellMar>
            <w:top w:w="0" w:type="dxa"/>
            <w:left w:w="108" w:type="dxa"/>
            <w:bottom w:w="0" w:type="dxa"/>
            <w:right w:w="108" w:type="dxa"/>
          </w:tblCellMar>
        </w:tblPrEx>
        <w:trPr>
          <w:trHeight w:val="799" w:hRule="atLeast"/>
        </w:trPr>
        <w:tc>
          <w:tcPr>
            <w:tcW w:w="33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行业分类</w:t>
            </w:r>
          </w:p>
        </w:tc>
        <w:tc>
          <w:tcPr>
            <w:tcW w:w="16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附征率(%)</w:t>
            </w:r>
          </w:p>
        </w:tc>
      </w:tr>
      <w:tr>
        <w:tblPrEx>
          <w:tblCellMar>
            <w:top w:w="0" w:type="dxa"/>
            <w:left w:w="108" w:type="dxa"/>
            <w:bottom w:w="0" w:type="dxa"/>
            <w:right w:w="108" w:type="dxa"/>
          </w:tblCellMar>
        </w:tblPrEx>
        <w:trPr>
          <w:trHeight w:val="481" w:hRule="atLeast"/>
        </w:trPr>
        <w:tc>
          <w:tcPr>
            <w:tcW w:w="3397"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采矿业</w:t>
            </w:r>
          </w:p>
        </w:tc>
        <w:tc>
          <w:tcPr>
            <w:tcW w:w="16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0.5</w:t>
            </w:r>
          </w:p>
        </w:tc>
      </w:tr>
      <w:tr>
        <w:tblPrEx>
          <w:tblCellMar>
            <w:top w:w="0" w:type="dxa"/>
            <w:left w:w="108" w:type="dxa"/>
            <w:bottom w:w="0" w:type="dxa"/>
            <w:right w:w="108" w:type="dxa"/>
          </w:tblCellMar>
        </w:tblPrEx>
        <w:trPr>
          <w:trHeight w:val="561" w:hRule="atLeast"/>
        </w:trPr>
        <w:tc>
          <w:tcPr>
            <w:tcW w:w="3397"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制造业</w:t>
            </w:r>
          </w:p>
        </w:tc>
        <w:tc>
          <w:tcPr>
            <w:tcW w:w="16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r>
              <w:rPr>
                <w:rFonts w:ascii="仿宋_GB2312" w:hAnsi="宋体" w:eastAsia="仿宋_GB2312" w:cs="宋体"/>
                <w:color w:val="000000"/>
                <w:kern w:val="0"/>
                <w:sz w:val="32"/>
                <w:szCs w:val="32"/>
              </w:rPr>
              <w:t>.3</w:t>
            </w:r>
          </w:p>
        </w:tc>
      </w:tr>
      <w:tr>
        <w:tblPrEx>
          <w:tblCellMar>
            <w:top w:w="0" w:type="dxa"/>
            <w:left w:w="108" w:type="dxa"/>
            <w:bottom w:w="0" w:type="dxa"/>
            <w:right w:w="108" w:type="dxa"/>
          </w:tblCellMar>
        </w:tblPrEx>
        <w:trPr>
          <w:trHeight w:val="472" w:hRule="atLeast"/>
        </w:trPr>
        <w:tc>
          <w:tcPr>
            <w:tcW w:w="3397" w:type="pct"/>
            <w:gridSpan w:val="2"/>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交通运输业</w:t>
            </w:r>
          </w:p>
        </w:tc>
        <w:tc>
          <w:tcPr>
            <w:tcW w:w="16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r>
              <w:rPr>
                <w:rFonts w:ascii="仿宋_GB2312" w:hAnsi="宋体" w:eastAsia="仿宋_GB2312" w:cs="宋体"/>
                <w:color w:val="000000"/>
                <w:kern w:val="0"/>
                <w:sz w:val="32"/>
                <w:szCs w:val="32"/>
              </w:rPr>
              <w:t>.3</w:t>
            </w:r>
          </w:p>
        </w:tc>
      </w:tr>
      <w:tr>
        <w:tblPrEx>
          <w:tblCellMar>
            <w:top w:w="0" w:type="dxa"/>
            <w:left w:w="108" w:type="dxa"/>
            <w:bottom w:w="0" w:type="dxa"/>
            <w:right w:w="108" w:type="dxa"/>
          </w:tblCellMar>
        </w:tblPrEx>
        <w:trPr>
          <w:trHeight w:val="630" w:hRule="atLeast"/>
        </w:trPr>
        <w:tc>
          <w:tcPr>
            <w:tcW w:w="3397"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批发和零售业</w:t>
            </w:r>
          </w:p>
        </w:tc>
        <w:tc>
          <w:tcPr>
            <w:tcW w:w="16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0.3</w:t>
            </w:r>
          </w:p>
        </w:tc>
      </w:tr>
      <w:tr>
        <w:tblPrEx>
          <w:tblCellMar>
            <w:top w:w="0" w:type="dxa"/>
            <w:left w:w="108" w:type="dxa"/>
            <w:bottom w:w="0" w:type="dxa"/>
            <w:right w:w="108" w:type="dxa"/>
          </w:tblCellMar>
        </w:tblPrEx>
        <w:trPr>
          <w:trHeight w:val="568" w:hRule="atLeast"/>
        </w:trPr>
        <w:tc>
          <w:tcPr>
            <w:tcW w:w="3397"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餐饮业</w:t>
            </w:r>
          </w:p>
        </w:tc>
        <w:tc>
          <w:tcPr>
            <w:tcW w:w="16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0.4</w:t>
            </w:r>
          </w:p>
        </w:tc>
      </w:tr>
      <w:tr>
        <w:tblPrEx>
          <w:tblCellMar>
            <w:top w:w="0" w:type="dxa"/>
            <w:left w:w="108" w:type="dxa"/>
            <w:bottom w:w="0" w:type="dxa"/>
            <w:right w:w="108" w:type="dxa"/>
          </w:tblCellMar>
        </w:tblPrEx>
        <w:trPr>
          <w:trHeight w:val="635" w:hRule="atLeast"/>
        </w:trPr>
        <w:tc>
          <w:tcPr>
            <w:tcW w:w="3397"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住宿业</w:t>
            </w:r>
          </w:p>
        </w:tc>
        <w:tc>
          <w:tcPr>
            <w:tcW w:w="16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0.8</w:t>
            </w:r>
          </w:p>
        </w:tc>
      </w:tr>
      <w:tr>
        <w:tblPrEx>
          <w:tblCellMar>
            <w:top w:w="0" w:type="dxa"/>
            <w:left w:w="108" w:type="dxa"/>
            <w:bottom w:w="0" w:type="dxa"/>
            <w:right w:w="108" w:type="dxa"/>
          </w:tblCellMar>
        </w:tblPrEx>
        <w:trPr>
          <w:trHeight w:val="559" w:hRule="atLeast"/>
        </w:trPr>
        <w:tc>
          <w:tcPr>
            <w:tcW w:w="3397"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建筑业</w:t>
            </w:r>
          </w:p>
        </w:tc>
        <w:tc>
          <w:tcPr>
            <w:tcW w:w="16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0.4</w:t>
            </w:r>
          </w:p>
        </w:tc>
      </w:tr>
      <w:tr>
        <w:tblPrEx>
          <w:tblCellMar>
            <w:top w:w="0" w:type="dxa"/>
            <w:left w:w="108" w:type="dxa"/>
            <w:bottom w:w="0" w:type="dxa"/>
            <w:right w:w="108" w:type="dxa"/>
          </w:tblCellMar>
        </w:tblPrEx>
        <w:trPr>
          <w:trHeight w:val="638" w:hRule="atLeast"/>
        </w:trPr>
        <w:tc>
          <w:tcPr>
            <w:tcW w:w="3397"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服务业</w:t>
            </w:r>
          </w:p>
        </w:tc>
        <w:tc>
          <w:tcPr>
            <w:tcW w:w="16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0.8</w:t>
            </w:r>
          </w:p>
        </w:tc>
      </w:tr>
      <w:tr>
        <w:tblPrEx>
          <w:tblCellMar>
            <w:top w:w="0" w:type="dxa"/>
            <w:left w:w="108" w:type="dxa"/>
            <w:bottom w:w="0" w:type="dxa"/>
            <w:right w:w="108" w:type="dxa"/>
          </w:tblCellMar>
        </w:tblPrEx>
        <w:trPr>
          <w:trHeight w:val="562" w:hRule="atLeast"/>
        </w:trPr>
        <w:tc>
          <w:tcPr>
            <w:tcW w:w="3397"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娱乐业</w:t>
            </w:r>
          </w:p>
        </w:tc>
        <w:tc>
          <w:tcPr>
            <w:tcW w:w="16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1.7</w:t>
            </w:r>
          </w:p>
        </w:tc>
      </w:tr>
      <w:tr>
        <w:tblPrEx>
          <w:tblCellMar>
            <w:top w:w="0" w:type="dxa"/>
            <w:left w:w="108" w:type="dxa"/>
            <w:bottom w:w="0" w:type="dxa"/>
            <w:right w:w="108" w:type="dxa"/>
          </w:tblCellMar>
        </w:tblPrEx>
        <w:trPr>
          <w:trHeight w:val="642" w:hRule="atLeast"/>
        </w:trPr>
        <w:tc>
          <w:tcPr>
            <w:tcW w:w="3397"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其他行业</w:t>
            </w:r>
          </w:p>
        </w:tc>
        <w:tc>
          <w:tcPr>
            <w:tcW w:w="16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0.8</w:t>
            </w:r>
          </w:p>
        </w:tc>
      </w:tr>
    </w:tbl>
    <w:p>
      <w:pPr>
        <w:widowControl/>
        <w:spacing w:before="100" w:beforeAutospacing="1" w:after="100" w:afterAutospacing="1"/>
        <w:jc w:val="right"/>
        <w:rPr>
          <w:rFonts w:ascii="仿宋_GB2312" w:eastAsia="仿宋_GB2312"/>
          <w:sz w:val="32"/>
          <w:szCs w:val="32"/>
        </w:rPr>
      </w:pPr>
    </w:p>
    <w:p>
      <w:pPr>
        <w:widowControl/>
        <w:spacing w:before="100" w:beforeAutospacing="1" w:after="100" w:afterAutospacing="1"/>
        <w:jc w:val="right"/>
        <w:rPr>
          <w:rFonts w:ascii="仿宋_GB2312" w:eastAsia="仿宋_GB2312"/>
          <w:sz w:val="32"/>
          <w:szCs w:val="32"/>
        </w:rPr>
      </w:pPr>
    </w:p>
    <w:p>
      <w:pPr>
        <w:widowControl/>
        <w:spacing w:before="100" w:beforeAutospacing="1" w:after="100" w:afterAutospacing="1"/>
        <w:jc w:val="right"/>
        <w:rPr>
          <w:rFonts w:ascii="仿宋_GB2312" w:eastAsia="仿宋_GB2312"/>
          <w:sz w:val="32"/>
          <w:szCs w:val="32"/>
        </w:rPr>
      </w:pPr>
    </w:p>
    <w:p>
      <w:pPr>
        <w:widowControl/>
        <w:spacing w:before="100" w:beforeAutospacing="1" w:after="100" w:afterAutospacing="1"/>
        <w:jc w:val="right"/>
        <w:rPr>
          <w:rFonts w:ascii="仿宋_GB2312" w:eastAsia="仿宋_GB2312"/>
          <w:sz w:val="32"/>
          <w:szCs w:val="32"/>
        </w:rPr>
      </w:pPr>
    </w:p>
    <w:p>
      <w:pPr>
        <w:widowControl/>
        <w:spacing w:before="100" w:beforeAutospacing="1" w:after="100" w:afterAutospacing="1"/>
        <w:jc w:val="left"/>
        <w:rPr>
          <w:rFonts w:ascii="仿宋_GB2312" w:eastAsia="仿宋_GB2312"/>
          <w:sz w:val="32"/>
          <w:szCs w:val="32"/>
        </w:rPr>
      </w:pPr>
    </w:p>
    <w:p>
      <w:pPr>
        <w:widowControl/>
        <w:spacing w:before="100" w:beforeAutospacing="1" w:after="100" w:afterAutospacing="1"/>
        <w:jc w:val="left"/>
        <w:rPr>
          <w:rFonts w:ascii="仿宋_GB2312" w:eastAsia="仿宋_GB2312"/>
          <w:sz w:val="32"/>
          <w:szCs w:val="32"/>
        </w:rPr>
      </w:pPr>
      <w:r>
        <w:rPr>
          <w:rFonts w:hint="eastAsia" w:ascii="仿宋_GB2312" w:eastAsia="仿宋_GB2312"/>
          <w:sz w:val="32"/>
          <w:szCs w:val="32"/>
        </w:rPr>
        <w:t>附件2：</w:t>
      </w:r>
    </w:p>
    <w:tbl>
      <w:tblPr>
        <w:tblStyle w:val="6"/>
        <w:tblW w:w="5000" w:type="pct"/>
        <w:tblInd w:w="0" w:type="dxa"/>
        <w:tblLayout w:type="autofit"/>
        <w:tblCellMar>
          <w:top w:w="0" w:type="dxa"/>
          <w:left w:w="108" w:type="dxa"/>
          <w:bottom w:w="0" w:type="dxa"/>
          <w:right w:w="108" w:type="dxa"/>
        </w:tblCellMar>
      </w:tblPr>
      <w:tblGrid>
        <w:gridCol w:w="4503"/>
        <w:gridCol w:w="4019"/>
      </w:tblGrid>
      <w:tr>
        <w:tblPrEx>
          <w:tblCellMar>
            <w:top w:w="0" w:type="dxa"/>
            <w:left w:w="108" w:type="dxa"/>
            <w:bottom w:w="0" w:type="dxa"/>
            <w:right w:w="108" w:type="dxa"/>
          </w:tblCellMar>
        </w:tblPrEx>
        <w:trPr>
          <w:trHeight w:val="930" w:hRule="atLeast"/>
        </w:trPr>
        <w:tc>
          <w:tcPr>
            <w:tcW w:w="5000" w:type="pct"/>
            <w:gridSpan w:val="2"/>
            <w:tcBorders>
              <w:top w:val="nil"/>
              <w:left w:val="nil"/>
              <w:bottom w:val="nil"/>
              <w:right w:val="nil"/>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个人所得税应税所得率表</w:t>
            </w:r>
          </w:p>
        </w:tc>
      </w:tr>
      <w:tr>
        <w:tblPrEx>
          <w:tblCellMar>
            <w:top w:w="0" w:type="dxa"/>
            <w:left w:w="108" w:type="dxa"/>
            <w:bottom w:w="0" w:type="dxa"/>
            <w:right w:w="108" w:type="dxa"/>
          </w:tblCellMar>
        </w:tblPrEx>
        <w:trPr>
          <w:trHeight w:val="799" w:hRule="atLeast"/>
        </w:trPr>
        <w:tc>
          <w:tcPr>
            <w:tcW w:w="26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行业分类</w:t>
            </w:r>
          </w:p>
        </w:tc>
        <w:tc>
          <w:tcPr>
            <w:tcW w:w="23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应税所得率（%）</w:t>
            </w:r>
          </w:p>
        </w:tc>
      </w:tr>
      <w:tr>
        <w:tblPrEx>
          <w:tblCellMar>
            <w:top w:w="0" w:type="dxa"/>
            <w:left w:w="108" w:type="dxa"/>
            <w:bottom w:w="0" w:type="dxa"/>
            <w:right w:w="108" w:type="dxa"/>
          </w:tblCellMar>
        </w:tblPrEx>
        <w:trPr>
          <w:trHeight w:val="799" w:hRule="atLeast"/>
        </w:trPr>
        <w:tc>
          <w:tcPr>
            <w:tcW w:w="264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采矿业</w:t>
            </w:r>
          </w:p>
        </w:tc>
        <w:tc>
          <w:tcPr>
            <w:tcW w:w="235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r>
      <w:tr>
        <w:tblPrEx>
          <w:tblCellMar>
            <w:top w:w="0" w:type="dxa"/>
            <w:left w:w="108" w:type="dxa"/>
            <w:bottom w:w="0" w:type="dxa"/>
            <w:right w:w="108" w:type="dxa"/>
          </w:tblCellMar>
        </w:tblPrEx>
        <w:trPr>
          <w:trHeight w:val="799" w:hRule="atLeast"/>
        </w:trPr>
        <w:tc>
          <w:tcPr>
            <w:tcW w:w="264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制造业</w:t>
            </w:r>
          </w:p>
        </w:tc>
        <w:tc>
          <w:tcPr>
            <w:tcW w:w="235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r>
      <w:tr>
        <w:tblPrEx>
          <w:tblCellMar>
            <w:top w:w="0" w:type="dxa"/>
            <w:left w:w="108" w:type="dxa"/>
            <w:bottom w:w="0" w:type="dxa"/>
            <w:right w:w="108" w:type="dxa"/>
          </w:tblCellMar>
        </w:tblPrEx>
        <w:trPr>
          <w:trHeight w:val="799" w:hRule="atLeast"/>
        </w:trPr>
        <w:tc>
          <w:tcPr>
            <w:tcW w:w="264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交通运输业</w:t>
            </w:r>
          </w:p>
        </w:tc>
        <w:tc>
          <w:tcPr>
            <w:tcW w:w="235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r>
      <w:tr>
        <w:tblPrEx>
          <w:tblCellMar>
            <w:top w:w="0" w:type="dxa"/>
            <w:left w:w="108" w:type="dxa"/>
            <w:bottom w:w="0" w:type="dxa"/>
            <w:right w:w="108" w:type="dxa"/>
          </w:tblCellMar>
        </w:tblPrEx>
        <w:trPr>
          <w:trHeight w:val="799" w:hRule="atLeast"/>
        </w:trPr>
        <w:tc>
          <w:tcPr>
            <w:tcW w:w="264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批发和零售业</w:t>
            </w:r>
          </w:p>
        </w:tc>
        <w:tc>
          <w:tcPr>
            <w:tcW w:w="235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r>
      <w:tr>
        <w:tblPrEx>
          <w:tblCellMar>
            <w:top w:w="0" w:type="dxa"/>
            <w:left w:w="108" w:type="dxa"/>
            <w:bottom w:w="0" w:type="dxa"/>
            <w:right w:w="108" w:type="dxa"/>
          </w:tblCellMar>
        </w:tblPrEx>
        <w:trPr>
          <w:trHeight w:val="799" w:hRule="atLeast"/>
        </w:trPr>
        <w:tc>
          <w:tcPr>
            <w:tcW w:w="264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餐饮业</w:t>
            </w:r>
          </w:p>
        </w:tc>
        <w:tc>
          <w:tcPr>
            <w:tcW w:w="235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w:t>
            </w:r>
          </w:p>
        </w:tc>
      </w:tr>
      <w:tr>
        <w:tblPrEx>
          <w:tblCellMar>
            <w:top w:w="0" w:type="dxa"/>
            <w:left w:w="108" w:type="dxa"/>
            <w:bottom w:w="0" w:type="dxa"/>
            <w:right w:w="108" w:type="dxa"/>
          </w:tblCellMar>
        </w:tblPrEx>
        <w:trPr>
          <w:trHeight w:val="799" w:hRule="atLeast"/>
        </w:trPr>
        <w:tc>
          <w:tcPr>
            <w:tcW w:w="264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住宿业</w:t>
            </w:r>
          </w:p>
        </w:tc>
        <w:tc>
          <w:tcPr>
            <w:tcW w:w="235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r>
      <w:tr>
        <w:tblPrEx>
          <w:tblCellMar>
            <w:top w:w="0" w:type="dxa"/>
            <w:left w:w="108" w:type="dxa"/>
            <w:bottom w:w="0" w:type="dxa"/>
            <w:right w:w="108" w:type="dxa"/>
          </w:tblCellMar>
        </w:tblPrEx>
        <w:trPr>
          <w:trHeight w:val="799" w:hRule="atLeast"/>
        </w:trPr>
        <w:tc>
          <w:tcPr>
            <w:tcW w:w="264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建筑业</w:t>
            </w:r>
          </w:p>
        </w:tc>
        <w:tc>
          <w:tcPr>
            <w:tcW w:w="235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w:t>
            </w:r>
          </w:p>
        </w:tc>
      </w:tr>
      <w:tr>
        <w:tblPrEx>
          <w:tblCellMar>
            <w:top w:w="0" w:type="dxa"/>
            <w:left w:w="108" w:type="dxa"/>
            <w:bottom w:w="0" w:type="dxa"/>
            <w:right w:w="108" w:type="dxa"/>
          </w:tblCellMar>
        </w:tblPrEx>
        <w:trPr>
          <w:trHeight w:val="799" w:hRule="atLeast"/>
        </w:trPr>
        <w:tc>
          <w:tcPr>
            <w:tcW w:w="264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服务业</w:t>
            </w:r>
          </w:p>
        </w:tc>
        <w:tc>
          <w:tcPr>
            <w:tcW w:w="235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r>
      <w:tr>
        <w:tblPrEx>
          <w:tblCellMar>
            <w:top w:w="0" w:type="dxa"/>
            <w:left w:w="108" w:type="dxa"/>
            <w:bottom w:w="0" w:type="dxa"/>
            <w:right w:w="108" w:type="dxa"/>
          </w:tblCellMar>
        </w:tblPrEx>
        <w:trPr>
          <w:trHeight w:val="799" w:hRule="atLeast"/>
        </w:trPr>
        <w:tc>
          <w:tcPr>
            <w:tcW w:w="264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娱乐业</w:t>
            </w:r>
          </w:p>
        </w:tc>
        <w:tc>
          <w:tcPr>
            <w:tcW w:w="235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w:t>
            </w:r>
          </w:p>
        </w:tc>
      </w:tr>
      <w:tr>
        <w:tblPrEx>
          <w:tblCellMar>
            <w:top w:w="0" w:type="dxa"/>
            <w:left w:w="108" w:type="dxa"/>
            <w:bottom w:w="0" w:type="dxa"/>
            <w:right w:w="108" w:type="dxa"/>
          </w:tblCellMar>
        </w:tblPrEx>
        <w:trPr>
          <w:trHeight w:val="799" w:hRule="atLeast"/>
        </w:trPr>
        <w:tc>
          <w:tcPr>
            <w:tcW w:w="264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其他行业</w:t>
            </w:r>
          </w:p>
        </w:tc>
        <w:tc>
          <w:tcPr>
            <w:tcW w:w="235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r>
    </w:tbl>
    <w:p>
      <w:pPr>
        <w:widowControl/>
        <w:spacing w:before="100" w:beforeAutospacing="1" w:after="100" w:afterAutospacing="1"/>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s>
  <w:rsids>
    <w:rsidRoot w:val="009B2BCE"/>
    <w:rsid w:val="00010D46"/>
    <w:rsid w:val="00032360"/>
    <w:rsid w:val="00102121"/>
    <w:rsid w:val="00112C69"/>
    <w:rsid w:val="00121FBE"/>
    <w:rsid w:val="00124E2B"/>
    <w:rsid w:val="001667A2"/>
    <w:rsid w:val="0017688A"/>
    <w:rsid w:val="001A408E"/>
    <w:rsid w:val="001C3020"/>
    <w:rsid w:val="001E6353"/>
    <w:rsid w:val="00217BD1"/>
    <w:rsid w:val="00221D3E"/>
    <w:rsid w:val="0026623E"/>
    <w:rsid w:val="0026702D"/>
    <w:rsid w:val="002B206D"/>
    <w:rsid w:val="002D0E19"/>
    <w:rsid w:val="002F7C34"/>
    <w:rsid w:val="00304A1E"/>
    <w:rsid w:val="003420AD"/>
    <w:rsid w:val="00377EBC"/>
    <w:rsid w:val="003D5D74"/>
    <w:rsid w:val="004A0D15"/>
    <w:rsid w:val="004A4244"/>
    <w:rsid w:val="00502A5F"/>
    <w:rsid w:val="00504EC5"/>
    <w:rsid w:val="00527DA4"/>
    <w:rsid w:val="0054020C"/>
    <w:rsid w:val="00594136"/>
    <w:rsid w:val="005952B6"/>
    <w:rsid w:val="005B4E60"/>
    <w:rsid w:val="005D3E2C"/>
    <w:rsid w:val="005D47CD"/>
    <w:rsid w:val="0063104B"/>
    <w:rsid w:val="0066596D"/>
    <w:rsid w:val="006C22F6"/>
    <w:rsid w:val="00783706"/>
    <w:rsid w:val="0078750B"/>
    <w:rsid w:val="00877AD9"/>
    <w:rsid w:val="008F3F65"/>
    <w:rsid w:val="00962647"/>
    <w:rsid w:val="009734C1"/>
    <w:rsid w:val="009B2BCE"/>
    <w:rsid w:val="009E4402"/>
    <w:rsid w:val="009F48FF"/>
    <w:rsid w:val="00A21031"/>
    <w:rsid w:val="00A75BD4"/>
    <w:rsid w:val="00A84BD1"/>
    <w:rsid w:val="00AB25BD"/>
    <w:rsid w:val="00AE4457"/>
    <w:rsid w:val="00AF57C4"/>
    <w:rsid w:val="00B306D1"/>
    <w:rsid w:val="00B327FF"/>
    <w:rsid w:val="00BB15DB"/>
    <w:rsid w:val="00BC5B81"/>
    <w:rsid w:val="00BC6C45"/>
    <w:rsid w:val="00C63CDB"/>
    <w:rsid w:val="00CA2D35"/>
    <w:rsid w:val="00CC7F77"/>
    <w:rsid w:val="00D55B0C"/>
    <w:rsid w:val="00DB188A"/>
    <w:rsid w:val="00DF0915"/>
    <w:rsid w:val="00E55F20"/>
    <w:rsid w:val="00E72AFB"/>
    <w:rsid w:val="00EA3545"/>
    <w:rsid w:val="00EB35C5"/>
    <w:rsid w:val="00ED5622"/>
    <w:rsid w:val="00F00979"/>
    <w:rsid w:val="00F107AA"/>
    <w:rsid w:val="00F27F4F"/>
    <w:rsid w:val="00F71AC7"/>
    <w:rsid w:val="00F86653"/>
    <w:rsid w:val="00FA123D"/>
    <w:rsid w:val="00FB2A0E"/>
    <w:rsid w:val="00FC6BD1"/>
    <w:rsid w:val="00FF5FC5"/>
    <w:rsid w:val="540076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rFonts w:cs="Times New Roman"/>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日期 Char"/>
    <w:basedOn w:val="7"/>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893</Words>
  <Characters>944</Characters>
  <Lines>7</Lines>
  <Paragraphs>2</Paragraphs>
  <TotalTime>371</TotalTime>
  <ScaleCrop>false</ScaleCrop>
  <LinksUpToDate>false</LinksUpToDate>
  <CharactersWithSpaces>974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2018-11-08T07:56:00Z</dcterms:created>
  <dc:creator>张文玲</dc:creator>
  <cp:lastModifiedBy>翼下之风</cp:lastModifiedBy>
  <cp:lastPrinted>2018-12-03T09:18:00Z</cp:lastPrinted>
  <dcterms:modified xsi:type="dcterms:W3CDTF">2023-07-13T06:34:57Z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1B1A1DF34BB74CF886393AA3481F0648</vt:lpwstr>
  </property>
</Properties>
</file>