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ind w:left="1320" w:hanging="1320" w:hangingChars="300"/>
        <w:jc w:val="both"/>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z w:val="44"/>
          <w:szCs w:val="44"/>
          <w:lang w:val="en-US" w:eastAsia="zh-CN"/>
        </w:rPr>
        <w:t>新平彝族傣族自治县反腐倡廉警示教育中心2023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pacing w:val="14"/>
          <w:sz w:val="44"/>
          <w:szCs w:val="44"/>
        </w:rPr>
        <w:t>预算重点领域财政项目</w:t>
      </w:r>
    </w:p>
    <w:p>
      <w:pPr>
        <w:snapToGrid w:val="0"/>
        <w:spacing w:line="590" w:lineRule="exact"/>
        <w:ind w:firstLine="2808" w:firstLineChars="600"/>
        <w:jc w:val="both"/>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文本公开</w:t>
      </w:r>
      <w:r>
        <w:rPr>
          <w:rFonts w:hint="eastAsia" w:ascii="方正小标宋简体" w:hAnsi="方正小标宋简体" w:eastAsia="方正小标宋简体" w:cs="方正小标宋简体"/>
          <w:spacing w:val="14"/>
          <w:sz w:val="44"/>
          <w:szCs w:val="44"/>
          <w:lang w:eastAsia="zh-CN"/>
        </w:rPr>
        <w:t>（</w:t>
      </w:r>
      <w:r>
        <w:rPr>
          <w:rFonts w:hint="eastAsia" w:ascii="方正小标宋简体" w:hAnsi="方正小标宋简体" w:eastAsia="方正小标宋简体" w:cs="方正小标宋简体"/>
          <w:spacing w:val="14"/>
          <w:sz w:val="44"/>
          <w:szCs w:val="44"/>
          <w:lang w:val="en-US" w:eastAsia="zh-CN"/>
        </w:rPr>
        <w:t>一</w:t>
      </w:r>
      <w:r>
        <w:rPr>
          <w:rFonts w:hint="eastAsia" w:ascii="方正小标宋简体" w:hAnsi="方正小标宋简体" w:eastAsia="方正小标宋简体" w:cs="方正小标宋简体"/>
          <w:spacing w:val="14"/>
          <w:sz w:val="44"/>
          <w:szCs w:val="44"/>
          <w:lang w:eastAsia="zh-CN"/>
        </w:rPr>
        <w:t>）</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新平县反腐倡廉警示教育中心运行经费</w:t>
      </w: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单位获得各领导的支持，提交了新警中心请〔2022〕10号《关于给予批准县反腐倡廉警示教育中心2023年度事业运行保障经费预算安排的请示》，得到了有关领导的批复。</w:t>
      </w: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新平</w:t>
      </w:r>
      <w:r>
        <w:rPr>
          <w:rFonts w:hint="eastAsia" w:eastAsia="仿宋_GB2312" w:cs="Times New Roman"/>
          <w:sz w:val="32"/>
          <w:szCs w:val="32"/>
          <w:lang w:val="en-US" w:eastAsia="zh-CN"/>
        </w:rPr>
        <w:t>彝族傣族自治</w:t>
      </w:r>
      <w:r>
        <w:rPr>
          <w:rFonts w:hint="default" w:ascii="Times New Roman" w:hAnsi="Times New Roman" w:eastAsia="仿宋_GB2312" w:cs="Times New Roman"/>
          <w:sz w:val="32"/>
          <w:szCs w:val="32"/>
          <w:lang w:val="en-US" w:eastAsia="zh-CN"/>
        </w:rPr>
        <w:t>县反腐倡廉警示教育中心</w:t>
      </w: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警示教育区占地面积4.8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eastAsia="zh-CN"/>
        </w:rPr>
        <w:t>亩（3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241</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eastAsia="zh-CN"/>
        </w:rPr>
        <w:t>㎡），建筑总面积1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685.10㎡，一直以来，由于中心属于事业单位，无行政运行保障经费，仅有人员保障经费，无法保障中心正常运行。为保障中心开展廉政</w:t>
      </w:r>
      <w:r>
        <w:rPr>
          <w:rFonts w:hint="eastAsia" w:eastAsia="仿宋_GB2312" w:cs="Times New Roman"/>
          <w:color w:val="auto"/>
          <w:kern w:val="0"/>
          <w:sz w:val="32"/>
          <w:szCs w:val="32"/>
          <w:highlight w:val="none"/>
          <w:lang w:val="en-US" w:eastAsia="zh-CN"/>
        </w:rPr>
        <w:t>廉洁</w:t>
      </w:r>
      <w:r>
        <w:rPr>
          <w:rFonts w:hint="default" w:ascii="Times New Roman" w:hAnsi="Times New Roman" w:eastAsia="仿宋_GB2312" w:cs="Times New Roman"/>
          <w:color w:val="auto"/>
          <w:kern w:val="0"/>
          <w:sz w:val="32"/>
          <w:szCs w:val="32"/>
          <w:highlight w:val="none"/>
          <w:lang w:eastAsia="zh-CN"/>
        </w:rPr>
        <w:t>教育、承接市县留置专案等工作的正常运行，县财政以事业运行保障经费预算形式予以支持保障，2018年保障经费28</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eastAsia="zh-CN"/>
        </w:rPr>
        <w:t>万元，2019年保障经费35</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eastAsia="zh-CN"/>
        </w:rPr>
        <w:t>万元，2020年保障经费35</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eastAsia="zh-CN"/>
        </w:rPr>
        <w:t>万元，202</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eastAsia="zh-CN"/>
        </w:rPr>
        <w:t>年保障经费35</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eastAsia="zh-CN"/>
        </w:rPr>
        <w:t>万元，202</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eastAsia="zh-CN"/>
        </w:rPr>
        <w:t>年保障经费35</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eastAsia="zh-CN"/>
        </w:rPr>
        <w:t>万元，主要用于中心的水电、网络、办公耗材、办案系统运行维护、日常工作运行维护修缮等支出。</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单位目标：完成对2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000名以上党员</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干部</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公职人员的警示教育工作，满意率达到90</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%以上，同时完成对办案点</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间留置室、1间中控室、2间备勤室、1间医务室、5间专案组办公室、86个床位的维修维护保障。做好驻点办案人员的后勤工作。</w:t>
      </w:r>
    </w:p>
    <w:p>
      <w:pPr>
        <w:widowControl/>
        <w:numPr>
          <w:ilvl w:val="0"/>
          <w:numId w:val="1"/>
        </w:numPr>
        <w:spacing w:line="590" w:lineRule="exact"/>
        <w:ind w:left="-10" w:leftChars="0" w:firstLine="640" w:firstLineChars="0"/>
        <w:jc w:val="left"/>
        <w:rPr>
          <w:rFonts w:hint="default" w:ascii="Times New Roman" w:hAnsi="Times New Roman" w:eastAsia="仿宋_GB2312" w:cs="Times New Roman"/>
          <w:color w:val="auto"/>
          <w:kern w:val="0"/>
          <w:sz w:val="32"/>
          <w:szCs w:val="32"/>
          <w:highlight w:val="none"/>
        </w:rPr>
      </w:pPr>
      <w:r>
        <w:rPr>
          <w:rFonts w:hint="eastAsia" w:ascii="黑体" w:hAnsi="黑体" w:eastAsia="黑体" w:cs="黑体"/>
          <w:kern w:val="0"/>
          <w:sz w:val="32"/>
          <w:szCs w:val="32"/>
        </w:rPr>
        <w:t>项目实施内容</w:t>
      </w:r>
    </w:p>
    <w:p>
      <w:pPr>
        <w:widowControl/>
        <w:numPr>
          <w:ilvl w:val="0"/>
          <w:numId w:val="2"/>
        </w:numPr>
        <w:spacing w:line="590" w:lineRule="exact"/>
        <w:ind w:firstLine="640" w:firstLineChars="200"/>
        <w:jc w:val="left"/>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lang w:eastAsia="zh-CN"/>
        </w:rPr>
        <w:t>运行公用经费</w:t>
      </w:r>
    </w:p>
    <w:p>
      <w:pPr>
        <w:widowControl/>
        <w:numPr>
          <w:ilvl w:val="0"/>
          <w:numId w:val="0"/>
        </w:numPr>
        <w:spacing w:line="590" w:lineRule="exact"/>
        <w:ind w:firstLine="640" w:firstLineChars="200"/>
        <w:jc w:val="left"/>
        <w:rPr>
          <w:rFonts w:hint="default" w:ascii="Times New Roman" w:hAnsi="Times New Roman" w:eastAsia="仿宋_GB2312" w:cs="Times New Roman"/>
          <w:color w:val="auto"/>
          <w:kern w:val="0"/>
          <w:sz w:val="32"/>
          <w:szCs w:val="32"/>
          <w:highlight w:val="none"/>
        </w:rPr>
      </w:pPr>
      <w:bookmarkStart w:id="0" w:name="_GoBack"/>
      <w:bookmarkEnd w:id="0"/>
      <w:r>
        <w:rPr>
          <w:rFonts w:hint="default" w:ascii="Times New Roman" w:hAnsi="Times New Roman" w:eastAsia="仿宋_GB2312" w:cs="Times New Roman"/>
          <w:color w:val="auto"/>
          <w:kern w:val="0"/>
          <w:sz w:val="32"/>
          <w:szCs w:val="32"/>
          <w:highlight w:val="none"/>
        </w:rPr>
        <w:t>保证</w:t>
      </w:r>
      <w:r>
        <w:rPr>
          <w:rFonts w:hint="default" w:ascii="Times New Roman" w:hAnsi="Times New Roman"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正常运转、在</w:t>
      </w:r>
      <w:r>
        <w:rPr>
          <w:rFonts w:hint="default" w:ascii="Times New Roman" w:hAnsi="Times New Roman" w:eastAsia="仿宋_GB2312" w:cs="Times New Roman"/>
          <w:color w:val="auto"/>
          <w:kern w:val="0"/>
          <w:sz w:val="32"/>
          <w:szCs w:val="32"/>
          <w:highlight w:val="none"/>
          <w:lang w:eastAsia="zh-CN"/>
        </w:rPr>
        <w:t>单位日常工作</w:t>
      </w:r>
      <w:r>
        <w:rPr>
          <w:rFonts w:hint="default" w:ascii="Times New Roman" w:hAnsi="Times New Roman" w:eastAsia="仿宋_GB2312" w:cs="Times New Roman"/>
          <w:color w:val="auto"/>
          <w:kern w:val="0"/>
          <w:sz w:val="32"/>
          <w:szCs w:val="32"/>
          <w:highlight w:val="none"/>
        </w:rPr>
        <w:t>和后勤服务等方面开支的费用。</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公用经费</w:t>
      </w:r>
      <w:r>
        <w:rPr>
          <w:rFonts w:hint="default" w:ascii="楷体" w:hAnsi="楷体" w:eastAsia="楷体" w:cs="楷体"/>
          <w:color w:val="auto"/>
          <w:kern w:val="0"/>
          <w:sz w:val="32"/>
          <w:szCs w:val="32"/>
          <w:highlight w:val="none"/>
        </w:rPr>
        <w:t>范围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水</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rPr>
        <w:t>电</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电信费</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绿化费、办公用品、打印纸采购、</w:t>
      </w:r>
      <w:r>
        <w:rPr>
          <w:rFonts w:hint="default" w:ascii="Times New Roman" w:hAnsi="Times New Roman" w:eastAsia="仿宋_GB2312" w:cs="Times New Roman"/>
          <w:color w:val="auto"/>
          <w:kern w:val="0"/>
          <w:sz w:val="32"/>
          <w:szCs w:val="32"/>
          <w:highlight w:val="none"/>
        </w:rPr>
        <w:t>房屋、建筑</w:t>
      </w:r>
      <w:r>
        <w:rPr>
          <w:rFonts w:hint="eastAsia" w:eastAsia="仿宋_GB2312" w:cs="Times New Roman"/>
          <w:color w:val="auto"/>
          <w:kern w:val="0"/>
          <w:sz w:val="32"/>
          <w:szCs w:val="32"/>
          <w:highlight w:val="none"/>
          <w:lang w:val="en-US" w:eastAsia="zh-CN"/>
        </w:rPr>
        <w:t>物</w:t>
      </w:r>
      <w:r>
        <w:rPr>
          <w:rFonts w:hint="default" w:ascii="Times New Roman" w:hAnsi="Times New Roman" w:eastAsia="仿宋_GB2312" w:cs="Times New Roman"/>
          <w:color w:val="auto"/>
          <w:kern w:val="0"/>
          <w:sz w:val="32"/>
          <w:szCs w:val="32"/>
          <w:highlight w:val="none"/>
        </w:rPr>
        <w:t>及仪器设备的日常维修维护等。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lang w:val="en-US" w:eastAsia="zh-CN"/>
        </w:rPr>
        <w:t>具体情况如下</w:t>
      </w:r>
      <w:r>
        <w:rPr>
          <w:rFonts w:hint="eastAsia" w:eastAsia="仿宋_GB2312"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办公费：反映购置的不符合固定资产确认标准的日常办公用品等支出。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水费：反映</w:t>
      </w:r>
      <w:r>
        <w:rPr>
          <w:rFonts w:hint="default" w:ascii="Times New Roman" w:hAnsi="Times New Roman"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支付的水费、污水处理费等支出</w:t>
      </w:r>
      <w:r>
        <w:rPr>
          <w:rFonts w:hint="eastAsia" w:eastAsia="仿宋_GB2312"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电费：反映</w:t>
      </w:r>
      <w:r>
        <w:rPr>
          <w:rFonts w:hint="default" w:ascii="Times New Roman" w:hAnsi="Times New Roman"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的电费支出。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绿化</w:t>
      </w:r>
      <w:r>
        <w:rPr>
          <w:rFonts w:hint="default" w:ascii="Times New Roman" w:hAnsi="Times New Roman" w:eastAsia="仿宋_GB2312" w:cs="Times New Roman"/>
          <w:color w:val="auto"/>
          <w:kern w:val="0"/>
          <w:sz w:val="32"/>
          <w:szCs w:val="32"/>
          <w:highlight w:val="none"/>
          <w:lang w:eastAsia="zh-CN"/>
        </w:rPr>
        <w:t>费：反映单位绿化施肥、维护</w:t>
      </w:r>
      <w:r>
        <w:rPr>
          <w:rFonts w:hint="default" w:ascii="Times New Roman" w:hAnsi="Times New Roman" w:eastAsia="仿宋_GB2312" w:cs="Times New Roman"/>
          <w:color w:val="auto"/>
          <w:kern w:val="0"/>
          <w:sz w:val="32"/>
          <w:szCs w:val="32"/>
          <w:highlight w:val="none"/>
        </w:rPr>
        <w:t>方面的支出</w:t>
      </w:r>
      <w:r>
        <w:rPr>
          <w:rFonts w:hint="eastAsia" w:eastAsia="仿宋_GB2312"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电信费</w:t>
      </w:r>
      <w:r>
        <w:rPr>
          <w:rFonts w:hint="default" w:ascii="Times New Roman" w:hAnsi="Times New Roman" w:eastAsia="仿宋_GB2312" w:cs="Times New Roman"/>
          <w:color w:val="auto"/>
          <w:kern w:val="0"/>
          <w:sz w:val="32"/>
          <w:szCs w:val="32"/>
          <w:highlight w:val="none"/>
        </w:rPr>
        <w:t>：反映</w:t>
      </w:r>
      <w:r>
        <w:rPr>
          <w:rFonts w:hint="default" w:ascii="Times New Roman" w:hAnsi="Times New Roman" w:eastAsia="仿宋_GB2312" w:cs="Times New Roman"/>
          <w:color w:val="auto"/>
          <w:kern w:val="0"/>
          <w:sz w:val="32"/>
          <w:szCs w:val="32"/>
          <w:highlight w:val="none"/>
          <w:lang w:eastAsia="zh-CN"/>
        </w:rPr>
        <w:t>单位网络使用</w:t>
      </w:r>
      <w:r>
        <w:rPr>
          <w:rFonts w:hint="default" w:ascii="Times New Roman" w:hAnsi="Times New Roman" w:eastAsia="仿宋_GB2312" w:cs="Times New Roman"/>
          <w:color w:val="auto"/>
          <w:kern w:val="0"/>
          <w:sz w:val="32"/>
          <w:szCs w:val="32"/>
          <w:highlight w:val="none"/>
        </w:rPr>
        <w:t>网络信息系统运行与维护等</w:t>
      </w:r>
      <w:r>
        <w:rPr>
          <w:rFonts w:hint="default" w:ascii="Times New Roman" w:hAnsi="Times New Roman" w:eastAsia="仿宋_GB2312" w:cs="Times New Roman"/>
          <w:color w:val="auto"/>
          <w:kern w:val="0"/>
          <w:sz w:val="32"/>
          <w:szCs w:val="32"/>
          <w:highlight w:val="none"/>
          <w:lang w:eastAsia="zh-CN"/>
        </w:rPr>
        <w:t>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维修费：反映</w:t>
      </w:r>
      <w:r>
        <w:rPr>
          <w:rFonts w:hint="default" w:ascii="Times New Roman" w:hAnsi="Times New Roman"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日常开支的固定资产修理和维护费用，一般办公设备的维修费用及水电路改造费用。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办公用具、打印纸费</w:t>
      </w:r>
      <w:r>
        <w:rPr>
          <w:rFonts w:hint="default" w:ascii="Times New Roman" w:hAnsi="Times New Roman" w:eastAsia="仿宋_GB2312" w:cs="Times New Roman"/>
          <w:color w:val="auto"/>
          <w:kern w:val="0"/>
          <w:sz w:val="32"/>
          <w:szCs w:val="32"/>
          <w:highlight w:val="none"/>
        </w:rPr>
        <w:t>：反映</w:t>
      </w:r>
      <w:r>
        <w:rPr>
          <w:rFonts w:hint="default" w:ascii="Times New Roman" w:hAnsi="Times New Roman"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购买的不纳入固定资产管理的日常专用材料的支出。</w:t>
      </w:r>
      <w:r>
        <w:rPr>
          <w:rFonts w:hint="default" w:ascii="Times New Roman" w:hAnsi="Times New Roman" w:eastAsia="仿宋_GB2312" w:cs="Times New Roman"/>
          <w:color w:val="auto"/>
          <w:kern w:val="0"/>
          <w:sz w:val="32"/>
          <w:szCs w:val="32"/>
          <w:highlight w:val="none"/>
          <w:lang w:eastAsia="zh-CN"/>
        </w:rPr>
        <w:t>如</w:t>
      </w:r>
      <w:r>
        <w:rPr>
          <w:rFonts w:hint="default" w:ascii="Times New Roman" w:hAnsi="Times New Roman" w:eastAsia="仿宋_GB2312" w:cs="Times New Roman"/>
          <w:color w:val="auto"/>
          <w:kern w:val="0"/>
          <w:sz w:val="32"/>
          <w:szCs w:val="32"/>
          <w:highlight w:val="none"/>
        </w:rPr>
        <w:t>消耗性用品</w:t>
      </w:r>
      <w:r>
        <w:rPr>
          <w:rFonts w:hint="eastAsia" w:eastAsia="仿宋_GB2312" w:cs="Times New Roman"/>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其他</w:t>
      </w:r>
      <w:r>
        <w:rPr>
          <w:rFonts w:hint="default" w:ascii="Times New Roman" w:hAnsi="Times New Roman" w:eastAsia="仿宋_GB2312" w:cs="Times New Roman"/>
          <w:color w:val="auto"/>
          <w:kern w:val="0"/>
          <w:sz w:val="32"/>
          <w:szCs w:val="32"/>
          <w:highlight w:val="none"/>
          <w:lang w:eastAsia="zh-CN"/>
        </w:rPr>
        <w:t>运行经费</w:t>
      </w:r>
      <w:r>
        <w:rPr>
          <w:rFonts w:hint="default" w:ascii="Times New Roman" w:hAnsi="Times New Roman" w:eastAsia="仿宋_GB2312" w:cs="Times New Roman"/>
          <w:color w:val="auto"/>
          <w:kern w:val="0"/>
          <w:sz w:val="32"/>
          <w:szCs w:val="32"/>
          <w:highlight w:val="none"/>
        </w:rPr>
        <w:t>：反映上述科目未包括的日常公用支出。</w:t>
      </w:r>
    </w:p>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tbl>
      <w:tblPr>
        <w:tblStyle w:val="10"/>
        <w:tblW w:w="822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652"/>
        <w:gridCol w:w="1625"/>
        <w:gridCol w:w="1430"/>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320" w:firstLineChars="1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内 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单价（元）</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320" w:firstLineChars="10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用</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量</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320" w:firstLineChars="1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eastAsia="zh-CN"/>
              </w:rPr>
              <w:t>单</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位</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总</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电费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0.5</w:t>
            </w:r>
            <w:r>
              <w:rPr>
                <w:rFonts w:hint="eastAsia" w:eastAsia="仿宋_GB2312" w:cs="Times New Roman"/>
                <w:color w:val="auto"/>
                <w:kern w:val="0"/>
                <w:sz w:val="30"/>
                <w:szCs w:val="30"/>
                <w:highlight w:val="none"/>
                <w:lang w:val="en-US" w:eastAsia="zh-CN"/>
              </w:rPr>
              <w:t>0</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100,005.00</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度</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eastAsia="zh-CN"/>
              </w:rPr>
            </w:pPr>
            <w:r>
              <w:rPr>
                <w:rFonts w:hint="eastAsia" w:eastAsia="仿宋_GB2312" w:cs="Times New Roman"/>
                <w:color w:val="auto"/>
                <w:kern w:val="0"/>
                <w:sz w:val="30"/>
                <w:szCs w:val="30"/>
                <w:highlight w:val="none"/>
                <w:lang w:val="en-US" w:eastAsia="zh-CN"/>
              </w:rPr>
              <w:t>50,002.50</w:t>
            </w:r>
            <w:r>
              <w:rPr>
                <w:rFonts w:hint="default" w:ascii="Times New Roman" w:hAnsi="Times New Roman" w:eastAsia="仿宋_GB2312" w:cs="Times New Roman"/>
                <w:color w:val="auto"/>
                <w:kern w:val="0"/>
                <w:sz w:val="30"/>
                <w:szCs w:val="30"/>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水费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5.70</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6,605.00</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立方米</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eastAsia="zh-CN"/>
              </w:rPr>
            </w:pPr>
            <w:r>
              <w:rPr>
                <w:rFonts w:hint="eastAsia" w:eastAsia="仿宋_GB2312" w:cs="Times New Roman"/>
                <w:color w:val="auto"/>
                <w:kern w:val="0"/>
                <w:sz w:val="30"/>
                <w:szCs w:val="30"/>
                <w:highlight w:val="none"/>
                <w:lang w:val="en-US" w:eastAsia="zh-CN"/>
              </w:rPr>
              <w:t>37,648.50</w:t>
            </w:r>
            <w:r>
              <w:rPr>
                <w:rFonts w:hint="default" w:ascii="Times New Roman" w:hAnsi="Times New Roman" w:eastAsia="仿宋_GB2312" w:cs="Times New Roman"/>
                <w:color w:val="auto"/>
                <w:kern w:val="0"/>
                <w:sz w:val="30"/>
                <w:szCs w:val="30"/>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电信网络费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24,000.00</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1</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年</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eastAsia="zh-CN"/>
              </w:rPr>
            </w:pPr>
            <w:r>
              <w:rPr>
                <w:rFonts w:hint="eastAsia" w:eastAsia="仿宋_GB2312" w:cs="Times New Roman"/>
                <w:color w:val="auto"/>
                <w:kern w:val="0"/>
                <w:sz w:val="30"/>
                <w:szCs w:val="30"/>
                <w:highlight w:val="none"/>
                <w:lang w:val="en-US" w:eastAsia="zh-CN"/>
              </w:rPr>
              <w:t>24,000</w:t>
            </w:r>
            <w:r>
              <w:rPr>
                <w:rFonts w:hint="default" w:ascii="Times New Roman" w:hAnsi="Times New Roman" w:eastAsia="仿宋_GB2312" w:cs="Times New Roman"/>
                <w:color w:val="auto"/>
                <w:kern w:val="0"/>
                <w:sz w:val="30"/>
                <w:szCs w:val="30"/>
                <w:highlight w:val="none"/>
                <w:lang w:val="en-US" w:eastAsia="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绿化费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20.00</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1,263.40</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平方米</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eastAsia="zh-CN"/>
              </w:rPr>
            </w:pPr>
            <w:r>
              <w:rPr>
                <w:rFonts w:hint="eastAsia" w:eastAsia="仿宋_GB2312" w:cs="Times New Roman"/>
                <w:color w:val="auto"/>
                <w:kern w:val="0"/>
                <w:sz w:val="30"/>
                <w:szCs w:val="30"/>
                <w:highlight w:val="none"/>
                <w:lang w:val="en-US" w:eastAsia="zh-CN"/>
              </w:rPr>
              <w:t>25,268.00</w:t>
            </w:r>
            <w:r>
              <w:rPr>
                <w:rFonts w:hint="default" w:ascii="Times New Roman" w:hAnsi="Times New Roman" w:eastAsia="仿宋_GB2312" w:cs="Times New Roman"/>
                <w:color w:val="auto"/>
                <w:kern w:val="0"/>
                <w:sz w:val="30"/>
                <w:szCs w:val="30"/>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维修维护费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31.00</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3</w:t>
            </w:r>
            <w:r>
              <w:rPr>
                <w:rFonts w:hint="eastAsia"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kern w:val="0"/>
                <w:sz w:val="30"/>
                <w:szCs w:val="30"/>
                <w:highlight w:val="none"/>
                <w:lang w:val="en-US" w:eastAsia="zh-CN"/>
              </w:rPr>
              <w:t>240</w:t>
            </w:r>
            <w:r>
              <w:rPr>
                <w:rFonts w:hint="eastAsia" w:eastAsia="仿宋_GB2312" w:cs="Times New Roman"/>
                <w:color w:val="auto"/>
                <w:kern w:val="0"/>
                <w:sz w:val="30"/>
                <w:szCs w:val="30"/>
                <w:highlight w:val="none"/>
                <w:lang w:val="en-US" w:eastAsia="zh-CN"/>
              </w:rPr>
              <w:t>.00</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eastAsia="zh-CN"/>
              </w:rPr>
              <w:t>平方米</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eastAsia="zh-CN"/>
              </w:rPr>
            </w:pPr>
            <w:r>
              <w:rPr>
                <w:rFonts w:hint="eastAsia" w:eastAsia="仿宋_GB2312" w:cs="Times New Roman"/>
                <w:color w:val="auto"/>
                <w:kern w:val="0"/>
                <w:sz w:val="30"/>
                <w:szCs w:val="30"/>
                <w:highlight w:val="none"/>
                <w:lang w:val="en-US" w:eastAsia="zh-CN"/>
              </w:rPr>
              <w:t>100,440.00</w:t>
            </w:r>
            <w:r>
              <w:rPr>
                <w:rFonts w:hint="default" w:ascii="Times New Roman" w:hAnsi="Times New Roman" w:eastAsia="仿宋_GB2312" w:cs="Times New Roman"/>
                <w:color w:val="auto"/>
                <w:kern w:val="0"/>
                <w:sz w:val="30"/>
                <w:szCs w:val="30"/>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其他运行经费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29,750.00</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1</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eastAsia" w:eastAsia="仿宋_GB2312" w:cs="Times New Roman"/>
                <w:color w:val="auto"/>
                <w:kern w:val="0"/>
                <w:sz w:val="32"/>
                <w:szCs w:val="32"/>
                <w:highlight w:val="none"/>
                <w:lang w:val="en-US" w:eastAsia="zh-CN"/>
              </w:rPr>
              <w:t>年</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eastAsia="zh-CN"/>
              </w:rPr>
            </w:pPr>
            <w:r>
              <w:rPr>
                <w:rFonts w:hint="eastAsia" w:eastAsia="仿宋_GB2312" w:cs="Times New Roman"/>
                <w:color w:val="auto"/>
                <w:kern w:val="0"/>
                <w:sz w:val="30"/>
                <w:szCs w:val="30"/>
                <w:highlight w:val="none"/>
                <w:lang w:val="en-US" w:eastAsia="zh-CN"/>
              </w:rPr>
              <w:t>29,750.00</w:t>
            </w:r>
            <w:r>
              <w:rPr>
                <w:rFonts w:hint="default" w:ascii="Times New Roman" w:hAnsi="Times New Roman" w:eastAsia="仿宋_GB2312" w:cs="Times New Roman"/>
                <w:color w:val="auto"/>
                <w:kern w:val="0"/>
                <w:sz w:val="30"/>
                <w:szCs w:val="30"/>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办公费</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32,891.00</w:t>
            </w: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lang w:val="en-US" w:eastAsia="zh-CN"/>
              </w:rPr>
              <w:t>1</w:t>
            </w: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年</w:t>
            </w: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32,891.00</w:t>
            </w:r>
            <w:r>
              <w:rPr>
                <w:rFonts w:hint="default" w:ascii="Times New Roman" w:hAnsi="Times New Roman" w:eastAsia="仿宋_GB2312" w:cs="Times New Roman"/>
                <w:color w:val="auto"/>
                <w:kern w:val="0"/>
                <w:sz w:val="30"/>
                <w:szCs w:val="30"/>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6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合计</w:t>
            </w:r>
          </w:p>
        </w:tc>
        <w:tc>
          <w:tcPr>
            <w:tcW w:w="1652"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eastAsia="仿宋_GB2312" w:cs="Times New Roman"/>
                <w:color w:val="auto"/>
                <w:kern w:val="0"/>
                <w:sz w:val="32"/>
                <w:szCs w:val="32"/>
                <w:highlight w:val="none"/>
                <w:lang w:val="en-US" w:eastAsia="zh-CN"/>
              </w:rPr>
            </w:pPr>
          </w:p>
        </w:tc>
        <w:tc>
          <w:tcPr>
            <w:tcW w:w="162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tc>
        <w:tc>
          <w:tcPr>
            <w:tcW w:w="1430"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p>
        </w:tc>
        <w:tc>
          <w:tcPr>
            <w:tcW w:w="215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eastAsia="仿宋_GB2312" w:cs="Times New Roman"/>
                <w:color w:val="auto"/>
                <w:kern w:val="0"/>
                <w:sz w:val="30"/>
                <w:szCs w:val="30"/>
                <w:highlight w:val="none"/>
                <w:lang w:val="en-US" w:eastAsia="zh-CN"/>
              </w:rPr>
            </w:pPr>
            <w:r>
              <w:rPr>
                <w:rFonts w:hint="eastAsia" w:eastAsia="仿宋_GB2312" w:cs="Times New Roman"/>
                <w:color w:val="auto"/>
                <w:kern w:val="0"/>
                <w:sz w:val="30"/>
                <w:szCs w:val="30"/>
                <w:highlight w:val="none"/>
                <w:lang w:val="en-US" w:eastAsia="zh-CN"/>
              </w:rPr>
              <w:t>300,000.00元</w:t>
            </w:r>
          </w:p>
        </w:tc>
      </w:tr>
    </w:tbl>
    <w:p>
      <w:pPr>
        <w:widowControl/>
        <w:numPr>
          <w:ilvl w:val="0"/>
          <w:numId w:val="1"/>
        </w:numPr>
        <w:spacing w:line="590" w:lineRule="exact"/>
        <w:ind w:left="-10" w:leftChars="0" w:firstLine="64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计划开展时间：</w:t>
      </w:r>
      <w:r>
        <w:rPr>
          <w:rFonts w:hint="default" w:ascii="Times New Roman" w:hAnsi="Times New Roman" w:eastAsia="仿宋_GB2312" w:cs="Times New Roman"/>
          <w:color w:val="auto"/>
          <w:kern w:val="0"/>
          <w:sz w:val="32"/>
          <w:szCs w:val="32"/>
          <w:highlight w:val="none"/>
        </w:rPr>
        <w:t>202</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年1月至12月</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1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项目实施后，能完成对全县党员</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干部以及公职人员的警示教育活动，同时也保障留置点驻点办案人员的后勤</w:t>
      </w:r>
      <w:r>
        <w:rPr>
          <w:rFonts w:hint="eastAsia" w:eastAsia="仿宋_GB2312" w:cs="Times New Roman"/>
          <w:color w:val="auto"/>
          <w:kern w:val="0"/>
          <w:sz w:val="32"/>
          <w:szCs w:val="32"/>
          <w:highlight w:val="none"/>
          <w:lang w:val="en-US" w:eastAsia="zh-CN"/>
        </w:rPr>
        <w:t>服务</w:t>
      </w:r>
      <w:r>
        <w:rPr>
          <w:rFonts w:hint="default" w:ascii="Times New Roman" w:hAnsi="Times New Roman" w:eastAsia="仿宋_GB2312" w:cs="Times New Roman"/>
          <w:color w:val="auto"/>
          <w:kern w:val="0"/>
          <w:sz w:val="32"/>
          <w:szCs w:val="32"/>
          <w:highlight w:val="none"/>
          <w:lang w:eastAsia="zh-CN"/>
        </w:rPr>
        <w:t>，保证单位的正常运行（水费、电费、办公费、办公用品采购、维修维护、绿化维护等）。</w:t>
      </w:r>
    </w:p>
    <w:p>
      <w:pPr>
        <w:pStyle w:val="2"/>
        <w:rPr>
          <w:rFonts w:hint="default"/>
          <w:lang w:val="en-US" w:eastAsia="zh-CN"/>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新平彝族傣族自治县反腐倡廉警示教育中心2023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rPr>
        <w:t>文本公开</w:t>
      </w:r>
      <w:r>
        <w:rPr>
          <w:rFonts w:hint="eastAsia" w:ascii="方正小标宋_GBK" w:hAnsi="方正小标宋_GBK" w:eastAsia="方正小标宋_GBK" w:cs="方正小标宋_GBK"/>
          <w:spacing w:val="14"/>
          <w:sz w:val="44"/>
          <w:szCs w:val="44"/>
          <w:lang w:eastAsia="zh-CN"/>
        </w:rPr>
        <w:t>（</w:t>
      </w:r>
      <w:r>
        <w:rPr>
          <w:rFonts w:hint="eastAsia" w:ascii="方正小标宋_GBK" w:hAnsi="方正小标宋_GBK" w:eastAsia="方正小标宋_GBK" w:cs="方正小标宋_GBK"/>
          <w:spacing w:val="14"/>
          <w:sz w:val="44"/>
          <w:szCs w:val="44"/>
          <w:lang w:val="en-US" w:eastAsia="zh-CN"/>
        </w:rPr>
        <w:t>二</w:t>
      </w:r>
      <w:r>
        <w:rPr>
          <w:rFonts w:hint="eastAsia" w:ascii="方正小标宋_GBK" w:hAnsi="方正小标宋_GBK" w:eastAsia="方正小标宋_GBK" w:cs="方正小标宋_GBK"/>
          <w:spacing w:val="14"/>
          <w:sz w:val="44"/>
          <w:szCs w:val="44"/>
          <w:lang w:eastAsia="zh-CN"/>
        </w:rPr>
        <w:t>）</w:t>
      </w:r>
    </w:p>
    <w:p>
      <w:pPr>
        <w:snapToGrid w:val="0"/>
        <w:spacing w:line="59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物业管理服务派遣经费项目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立项依据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单位获得各领导的支持，提交了新警中心请〔2022〕</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号《关于给予</w:t>
      </w:r>
      <w:r>
        <w:rPr>
          <w:rFonts w:hint="eastAsia" w:eastAsia="仿宋_GB2312" w:cs="Times New Roman"/>
          <w:sz w:val="32"/>
          <w:szCs w:val="32"/>
          <w:lang w:val="en-US" w:eastAsia="zh-CN"/>
        </w:rPr>
        <w:t>拨付</w:t>
      </w:r>
      <w:r>
        <w:rPr>
          <w:rFonts w:hint="eastAsia" w:ascii="Times New Roman" w:hAnsi="Times New Roman" w:eastAsia="仿宋_GB2312" w:cs="Times New Roman"/>
          <w:sz w:val="32"/>
          <w:szCs w:val="32"/>
          <w:lang w:val="en-US" w:eastAsia="zh-CN"/>
        </w:rPr>
        <w:t>县反腐倡廉警示教育中心</w:t>
      </w:r>
      <w:r>
        <w:rPr>
          <w:rFonts w:hint="eastAsia" w:eastAsia="仿宋_GB2312" w:cs="Times New Roman"/>
          <w:sz w:val="32"/>
          <w:szCs w:val="32"/>
          <w:lang w:val="en-US" w:eastAsia="zh-CN"/>
        </w:rPr>
        <w:t>物业管理服务经费补助的请示</w:t>
      </w:r>
      <w:r>
        <w:rPr>
          <w:rFonts w:hint="eastAsia" w:ascii="Times New Roman" w:hAnsi="Times New Roman" w:eastAsia="仿宋_GB2312" w:cs="Times New Roman"/>
          <w:sz w:val="32"/>
          <w:szCs w:val="32"/>
          <w:lang w:val="en-US" w:eastAsia="zh-CN"/>
        </w:rPr>
        <w:t>》，得到了有关领导的批复。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新平</w:t>
      </w:r>
      <w:r>
        <w:rPr>
          <w:rFonts w:hint="eastAsia" w:eastAsia="仿宋_GB2312" w:cs="Times New Roman"/>
          <w:sz w:val="32"/>
          <w:szCs w:val="32"/>
          <w:lang w:val="en-US" w:eastAsia="zh-CN"/>
        </w:rPr>
        <w:t>彝族傣族自治</w:t>
      </w:r>
      <w:r>
        <w:rPr>
          <w:rFonts w:hint="default" w:ascii="Times New Roman" w:hAnsi="Times New Roman" w:eastAsia="仿宋_GB2312" w:cs="Times New Roman"/>
          <w:sz w:val="32"/>
          <w:szCs w:val="32"/>
          <w:lang w:val="en-US" w:eastAsia="zh-CN"/>
        </w:rPr>
        <w:t>县反腐倡廉警示教育中心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项目基本概况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Times New Roman"/>
          <w:b w:val="0"/>
          <w:bCs/>
          <w:sz w:val="32"/>
          <w:szCs w:val="32"/>
          <w:lang w:val="en-US" w:eastAsia="zh-CN"/>
        </w:rPr>
        <w:t>2018</w:t>
      </w:r>
      <w:r>
        <w:rPr>
          <w:rFonts w:hint="eastAsia" w:ascii="仿宋_GB2312" w:hAnsi="仿宋_GB2312" w:eastAsia="仿宋_GB2312" w:cs="仿宋_GB2312"/>
          <w:b w:val="0"/>
          <w:bCs/>
          <w:sz w:val="32"/>
          <w:szCs w:val="32"/>
        </w:rPr>
        <w:t>年</w:t>
      </w:r>
      <w:r>
        <w:rPr>
          <w:rFonts w:hint="eastAsia" w:ascii="Times New Roman" w:hAnsi="Times New Roman" w:eastAsia="仿宋_GB2312" w:cs="Times New Roman"/>
          <w:b w:val="0"/>
          <w:bCs/>
          <w:sz w:val="32"/>
          <w:szCs w:val="32"/>
          <w:lang w:val="en-US" w:eastAsia="zh-CN"/>
        </w:rPr>
        <w:t>8</w:t>
      </w:r>
      <w:r>
        <w:rPr>
          <w:rFonts w:hint="eastAsia" w:ascii="仿宋_GB2312" w:hAnsi="仿宋_GB2312" w:eastAsia="仿宋_GB2312" w:cs="仿宋_GB2312"/>
          <w:b w:val="0"/>
          <w:bCs/>
          <w:sz w:val="32"/>
          <w:szCs w:val="32"/>
        </w:rPr>
        <w:t>月，中心负责管理的办案点被省纪委监委、市纪委监委确定为“玉溪市监察委员会留置场所新平分点”，开始负责承担省、市、县纪委监委驻点查办留置案件的后勤服务、技术保障和综合协调等工作。</w:t>
      </w:r>
      <w:r>
        <w:rPr>
          <w:rFonts w:hint="eastAsia" w:ascii="Times New Roman" w:hAnsi="Times New Roman" w:eastAsia="仿宋_GB2312" w:cs="Times New Roman"/>
          <w:b w:val="0"/>
          <w:bCs/>
          <w:sz w:val="32"/>
          <w:szCs w:val="32"/>
          <w:lang w:val="en-US" w:eastAsia="zh-CN"/>
        </w:rPr>
        <w:t>2022</w:t>
      </w:r>
      <w:r>
        <w:rPr>
          <w:rFonts w:hint="eastAsia" w:ascii="仿宋_GB2312" w:hAnsi="仿宋_GB2312" w:eastAsia="仿宋_GB2312" w:cs="仿宋_GB2312"/>
          <w:b w:val="0"/>
          <w:bCs/>
          <w:sz w:val="32"/>
          <w:szCs w:val="32"/>
          <w:lang w:val="en-US" w:eastAsia="zh-CN"/>
        </w:rPr>
        <w:t>年</w:t>
      </w:r>
      <w:r>
        <w:rPr>
          <w:rFonts w:hint="eastAsia"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月按省市纪委监委部署，为进一步加强纪检监察机关留置对象的疫情防控工作，要求中心在“玉溪市监察委员会留置场所新平分点”的基础上提升打造“玉溪市留置隔离专区”，负责承接市纪委监委统一安排的驻点留置隔离任务。为解决“专区”后勤服务保障力量不足等问题，经县纪委第</w:t>
      </w:r>
      <w:r>
        <w:rPr>
          <w:rFonts w:hint="eastAsia" w:ascii="Times New Roman" w:hAnsi="Times New Roman" w:eastAsia="仿宋_GB2312" w:cs="Times New Roman"/>
          <w:b w:val="0"/>
          <w:bCs/>
          <w:sz w:val="32"/>
          <w:szCs w:val="32"/>
          <w:lang w:val="en-US" w:eastAsia="zh-CN"/>
        </w:rPr>
        <w:t>45</w:t>
      </w:r>
      <w:r>
        <w:rPr>
          <w:rFonts w:hint="eastAsia" w:ascii="仿宋_GB2312" w:hAnsi="仿宋_GB2312" w:eastAsia="仿宋_GB2312" w:cs="仿宋_GB2312"/>
          <w:b w:val="0"/>
          <w:bCs/>
          <w:sz w:val="32"/>
          <w:szCs w:val="32"/>
          <w:lang w:val="en-US" w:eastAsia="zh-CN"/>
        </w:rPr>
        <w:t>期常委会研究同意中心采用“政府购买服务+物业管理”模式解决上述问题，新增物业管理人员</w:t>
      </w:r>
      <w:r>
        <w:rPr>
          <w:rFonts w:hint="eastAsia"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项目实施内容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新增物业管理人员</w:t>
      </w:r>
      <w:r>
        <w:rPr>
          <w:rFonts w:hint="eastAsia"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人。</w:t>
      </w:r>
      <w:r>
        <w:rPr>
          <w:rFonts w:hint="eastAsia" w:ascii="Times New Roman" w:hAnsi="Times New Roman" w:eastAsia="仿宋_GB2312" w:cs="Times New Roman"/>
          <w:b w:val="0"/>
          <w:bCs/>
          <w:sz w:val="32"/>
          <w:szCs w:val="32"/>
          <w:lang w:val="en-US" w:eastAsia="zh-CN"/>
        </w:rPr>
        <w:t>2023</w:t>
      </w:r>
      <w:r>
        <w:rPr>
          <w:rFonts w:hint="eastAsia" w:ascii="仿宋_GB2312" w:hAnsi="仿宋_GB2312" w:eastAsia="仿宋_GB2312" w:cs="仿宋_GB2312"/>
          <w:b w:val="0"/>
          <w:bCs/>
          <w:sz w:val="32"/>
          <w:szCs w:val="32"/>
          <w:lang w:val="en-US" w:eastAsia="zh-CN"/>
        </w:rPr>
        <w:t>年度按全年来计算，人员经费</w:t>
      </w:r>
      <w:r>
        <w:rPr>
          <w:rFonts w:hint="eastAsia" w:ascii="Times New Roman" w:hAnsi="Times New Roman" w:eastAsia="仿宋_GB2312" w:cs="Times New Roman"/>
          <w:b w:val="0"/>
          <w:bCs/>
          <w:sz w:val="32"/>
          <w:szCs w:val="32"/>
          <w:lang w:val="en-US" w:eastAsia="zh-CN"/>
        </w:rPr>
        <w:t>183,600.00</w:t>
      </w:r>
      <w:r>
        <w:rPr>
          <w:rFonts w:hint="eastAsia" w:ascii="仿宋_GB2312" w:hAnsi="仿宋_GB2312" w:eastAsia="仿宋_GB2312" w:cs="仿宋_GB2312"/>
          <w:b w:val="0"/>
          <w:bCs/>
          <w:sz w:val="32"/>
          <w:szCs w:val="32"/>
          <w:lang w:val="en-US" w:eastAsia="zh-CN"/>
        </w:rPr>
        <w:t>元（</w:t>
      </w:r>
      <w:r>
        <w:rPr>
          <w:rFonts w:hint="eastAsia" w:ascii="Times New Roman" w:hAnsi="Times New Roman" w:eastAsia="仿宋_GB2312" w:cs="Times New Roman"/>
          <w:b w:val="0"/>
          <w:bCs/>
          <w:sz w:val="32"/>
          <w:szCs w:val="32"/>
          <w:lang w:val="en-US" w:eastAsia="zh-CN"/>
        </w:rPr>
        <w:t>2,550.00</w:t>
      </w:r>
      <w:r>
        <w:rPr>
          <w:rFonts w:hint="eastAsia" w:ascii="仿宋_GB2312" w:hAnsi="仿宋_GB2312" w:eastAsia="仿宋_GB2312" w:cs="仿宋_GB2312"/>
          <w:b w:val="0"/>
          <w:bCs/>
          <w:sz w:val="32"/>
          <w:szCs w:val="32"/>
          <w:lang w:val="en-US" w:eastAsia="zh-CN"/>
        </w:rPr>
        <w:t>元/人/月）；管理服务费</w:t>
      </w:r>
      <w:r>
        <w:rPr>
          <w:rFonts w:hint="eastAsia" w:ascii="Times New Roman" w:hAnsi="Times New Roman" w:eastAsia="仿宋_GB2312" w:cs="Times New Roman"/>
          <w:b w:val="0"/>
          <w:bCs/>
          <w:sz w:val="32"/>
          <w:szCs w:val="32"/>
          <w:lang w:val="en-US" w:eastAsia="zh-CN"/>
        </w:rPr>
        <w:t>18,360.00</w:t>
      </w:r>
      <w:r>
        <w:rPr>
          <w:rFonts w:hint="eastAsia" w:ascii="仿宋_GB2312" w:hAnsi="仿宋_GB2312" w:eastAsia="仿宋_GB2312" w:cs="仿宋_GB2312"/>
          <w:b w:val="0"/>
          <w:bCs/>
          <w:sz w:val="32"/>
          <w:szCs w:val="32"/>
          <w:lang w:val="en-US" w:eastAsia="zh-CN"/>
        </w:rPr>
        <w:t>元（总人员经费的</w:t>
      </w:r>
      <w:r>
        <w:rPr>
          <w:rFonts w:hint="eastAsia" w:ascii="Times New Roman" w:hAnsi="Times New Roman" w:eastAsia="仿宋_GB2312" w:cs="Times New Roman"/>
          <w:b w:val="0"/>
          <w:bCs/>
          <w:sz w:val="32"/>
          <w:szCs w:val="32"/>
          <w:lang w:val="en-US" w:eastAsia="zh-CN"/>
        </w:rPr>
        <w:t>10.00%</w:t>
      </w:r>
      <w:r>
        <w:rPr>
          <w:rFonts w:hint="eastAsia" w:ascii="仿宋_GB2312" w:hAnsi="仿宋_GB2312" w:eastAsia="仿宋_GB2312" w:cs="仿宋_GB2312"/>
          <w:b w:val="0"/>
          <w:bCs/>
          <w:sz w:val="32"/>
          <w:szCs w:val="32"/>
          <w:lang w:val="en-US" w:eastAsia="zh-CN"/>
        </w:rPr>
        <w:t>）；其他费用</w:t>
      </w:r>
      <w:r>
        <w:rPr>
          <w:rFonts w:hint="eastAsia" w:ascii="Times New Roman" w:hAnsi="Times New Roman" w:eastAsia="仿宋_GB2312" w:cs="Times New Roman"/>
          <w:b w:val="0"/>
          <w:bCs/>
          <w:sz w:val="32"/>
          <w:szCs w:val="32"/>
          <w:lang w:val="en-US" w:eastAsia="zh-CN"/>
        </w:rPr>
        <w:t>18,040.00</w:t>
      </w:r>
      <w:r>
        <w:rPr>
          <w:rFonts w:hint="eastAsia" w:ascii="仿宋_GB2312" w:hAnsi="仿宋_GB2312" w:eastAsia="仿宋_GB2312" w:cs="仿宋_GB2312"/>
          <w:b w:val="0"/>
          <w:bCs/>
          <w:sz w:val="32"/>
          <w:szCs w:val="32"/>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资金安排情况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Times New Roman"/>
          <w:b w:val="0"/>
          <w:bCs/>
          <w:sz w:val="32"/>
          <w:szCs w:val="32"/>
          <w:lang w:val="en-US" w:eastAsia="zh-CN"/>
        </w:rPr>
        <w:t>2023</w:t>
      </w:r>
      <w:r>
        <w:rPr>
          <w:rFonts w:hint="eastAsia" w:ascii="仿宋_GB2312" w:hAnsi="仿宋_GB2312" w:eastAsia="仿宋_GB2312" w:cs="仿宋_GB2312"/>
          <w:b w:val="0"/>
          <w:bCs/>
          <w:sz w:val="32"/>
          <w:szCs w:val="32"/>
          <w:lang w:val="en-US" w:eastAsia="zh-CN"/>
        </w:rPr>
        <w:t>年度按全年来计算，人员经费</w:t>
      </w:r>
      <w:r>
        <w:rPr>
          <w:rFonts w:hint="default" w:ascii="Times New Roman" w:hAnsi="Times New Roman" w:eastAsia="仿宋_GB2312" w:cs="Times New Roman"/>
          <w:b w:val="0"/>
          <w:bCs/>
          <w:sz w:val="32"/>
          <w:szCs w:val="32"/>
          <w:lang w:val="en-US" w:eastAsia="zh-CN"/>
        </w:rPr>
        <w:t>183</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600.00</w:t>
      </w:r>
      <w:r>
        <w:rPr>
          <w:rFonts w:hint="eastAsia" w:ascii="仿宋_GB2312" w:hAnsi="仿宋_GB2312" w:eastAsia="仿宋_GB2312" w:cs="仿宋_GB2312"/>
          <w:b w:val="0"/>
          <w:bCs/>
          <w:sz w:val="32"/>
          <w:szCs w:val="32"/>
          <w:lang w:val="en-US" w:eastAsia="zh-CN"/>
        </w:rPr>
        <w:t>元（</w:t>
      </w:r>
      <w:r>
        <w:rPr>
          <w:rFonts w:hint="eastAsia" w:ascii="Times New Roman" w:hAnsi="Times New Roman" w:eastAsia="仿宋_GB2312" w:cs="Times New Roman"/>
          <w:b w:val="0"/>
          <w:bCs/>
          <w:sz w:val="32"/>
          <w:szCs w:val="32"/>
          <w:lang w:val="en-US" w:eastAsia="zh-CN"/>
        </w:rPr>
        <w:t>2,550.00</w:t>
      </w:r>
      <w:r>
        <w:rPr>
          <w:rFonts w:hint="eastAsia" w:ascii="仿宋_GB2312" w:hAnsi="仿宋_GB2312" w:eastAsia="仿宋_GB2312" w:cs="仿宋_GB2312"/>
          <w:b w:val="0"/>
          <w:bCs/>
          <w:sz w:val="32"/>
          <w:szCs w:val="32"/>
          <w:lang w:val="en-US" w:eastAsia="zh-CN"/>
        </w:rPr>
        <w:t>元/人/月）；管理服务费</w:t>
      </w:r>
      <w:r>
        <w:rPr>
          <w:rFonts w:hint="eastAsia" w:ascii="Times New Roman" w:hAnsi="Times New Roman" w:eastAsia="仿宋_GB2312" w:cs="Times New Roman"/>
          <w:b w:val="0"/>
          <w:bCs/>
          <w:sz w:val="32"/>
          <w:szCs w:val="32"/>
          <w:lang w:val="en-US" w:eastAsia="zh-CN"/>
        </w:rPr>
        <w:t>18,360.00</w:t>
      </w:r>
      <w:r>
        <w:rPr>
          <w:rFonts w:hint="eastAsia" w:ascii="仿宋_GB2312" w:hAnsi="仿宋_GB2312" w:eastAsia="仿宋_GB2312" w:cs="仿宋_GB2312"/>
          <w:b w:val="0"/>
          <w:bCs/>
          <w:sz w:val="32"/>
          <w:szCs w:val="32"/>
          <w:lang w:val="en-US" w:eastAsia="zh-CN"/>
        </w:rPr>
        <w:t>元（总人员经费的</w:t>
      </w:r>
      <w:r>
        <w:rPr>
          <w:rFonts w:hint="eastAsia" w:ascii="Times New Roman" w:hAnsi="Times New Roman" w:eastAsia="仿宋_GB2312" w:cs="Times New Roman"/>
          <w:b w:val="0"/>
          <w:bCs/>
          <w:sz w:val="32"/>
          <w:szCs w:val="32"/>
          <w:lang w:val="en-US" w:eastAsia="zh-CN"/>
        </w:rPr>
        <w:t>10.00%</w:t>
      </w:r>
      <w:r>
        <w:rPr>
          <w:rFonts w:hint="eastAsia" w:ascii="仿宋_GB2312" w:hAnsi="仿宋_GB2312" w:eastAsia="仿宋_GB2312" w:cs="仿宋_GB2312"/>
          <w:b w:val="0"/>
          <w:bCs/>
          <w:sz w:val="32"/>
          <w:szCs w:val="32"/>
          <w:lang w:val="en-US" w:eastAsia="zh-CN"/>
        </w:rPr>
        <w:t>）；其他费用</w:t>
      </w:r>
      <w:r>
        <w:rPr>
          <w:rFonts w:hint="eastAsia" w:ascii="Times New Roman" w:hAnsi="Times New Roman" w:eastAsia="仿宋_GB2312" w:cs="Times New Roman"/>
          <w:b w:val="0"/>
          <w:bCs/>
          <w:sz w:val="32"/>
          <w:szCs w:val="32"/>
          <w:lang w:val="en-US" w:eastAsia="zh-CN"/>
        </w:rPr>
        <w:t>18,040.00</w:t>
      </w:r>
      <w:r>
        <w:rPr>
          <w:rFonts w:hint="eastAsia" w:ascii="仿宋_GB2312" w:hAnsi="仿宋_GB2312" w:eastAsia="仿宋_GB2312" w:cs="仿宋_GB2312"/>
          <w:b w:val="0"/>
          <w:bCs/>
          <w:sz w:val="32"/>
          <w:szCs w:val="32"/>
          <w:lang w:val="en-US" w:eastAsia="zh-CN"/>
        </w:rPr>
        <w:t>元。共计</w:t>
      </w:r>
      <w:r>
        <w:rPr>
          <w:rFonts w:hint="eastAsia" w:ascii="Times New Roman" w:hAnsi="Times New Roman" w:eastAsia="仿宋_GB2312" w:cs="Times New Roman"/>
          <w:b w:val="0"/>
          <w:bCs/>
          <w:sz w:val="32"/>
          <w:szCs w:val="32"/>
          <w:lang w:val="en-US" w:eastAsia="zh-CN"/>
        </w:rPr>
        <w:t>220,000.00</w:t>
      </w:r>
      <w:r>
        <w:rPr>
          <w:rFonts w:hint="eastAsia" w:ascii="仿宋_GB2312" w:hAnsi="仿宋_GB2312" w:eastAsia="仿宋_GB2312" w:cs="仿宋_GB2312"/>
          <w:b w:val="0"/>
          <w:bCs/>
          <w:sz w:val="32"/>
          <w:szCs w:val="32"/>
          <w:lang w:val="en-US" w:eastAsia="zh-CN"/>
        </w:rPr>
        <w:t>元。额外服务费用按此表中实际产生结算。</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lang w:val="en-US" w:eastAsia="zh-CN"/>
        </w:rPr>
      </w:pPr>
    </w:p>
    <w:tbl>
      <w:tblPr>
        <w:tblStyle w:val="9"/>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8"/>
        <w:gridCol w:w="972"/>
        <w:gridCol w:w="1124"/>
        <w:gridCol w:w="792"/>
        <w:gridCol w:w="3378"/>
        <w:gridCol w:w="1353"/>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 w:hRule="atLeast"/>
        </w:trPr>
        <w:tc>
          <w:tcPr>
            <w:tcW w:w="10020"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新平彝族傣族自治县反腐倡廉警示教育中心物业管理服务费用测算表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一</w:t>
            </w:r>
          </w:p>
        </w:tc>
        <w:tc>
          <w:tcPr>
            <w:tcW w:w="928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人员配置及待遇 （共计6人，通过县国源人力资源公司派遣）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班组</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岗位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人数</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岗位职责</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配制情况</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2" w:hRule="atLeas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食堂</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餐厅服务员</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0</w:t>
            </w:r>
          </w:p>
        </w:tc>
        <w:tc>
          <w:tcPr>
            <w:tcW w:w="3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222222"/>
                <w:sz w:val="18"/>
                <w:szCs w:val="18"/>
                <w:u w:val="none"/>
              </w:rPr>
            </w:pPr>
            <w:r>
              <w:rPr>
                <w:rFonts w:hint="eastAsia" w:ascii="仿宋_GB2312" w:hAnsi="仿宋_GB2312" w:eastAsia="仿宋_GB2312" w:cs="仿宋_GB2312"/>
                <w:b w:val="0"/>
                <w:bCs w:val="0"/>
                <w:i w:val="0"/>
                <w:color w:val="222222"/>
                <w:kern w:val="0"/>
                <w:sz w:val="18"/>
                <w:szCs w:val="18"/>
                <w:u w:val="none"/>
                <w:lang w:val="en-US" w:eastAsia="zh-CN" w:bidi="ar"/>
              </w:rPr>
              <w:t>开餐前做好全面的卫生工作，认真做好自己所负责区域的卫生工作，保证提供优雅干净的卫生环境。2、服从领班安排，按照工作程序与标准做好各项开餐准备工作:按标准换台布、摆台;清洁餐厅桌椅和转盘。准备开餐用餐:托盘、冰桶、冰桶架、保温瓶、烟缸、食品及饮品订单、酱油壶及准备酒车和开餐所需的一切餐具</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2"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3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222222"/>
                <w:sz w:val="18"/>
                <w:szCs w:val="18"/>
                <w:u w:val="none"/>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3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222222"/>
                <w:sz w:val="18"/>
                <w:szCs w:val="18"/>
                <w:u w:val="none"/>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公共秩序 维护组</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保安员</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门岗值勤、登记，</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安全巡逻等工作</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公共保洁</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 xml:space="preserve">保洁人员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中心所属区域卫生保洁、</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清洗消毒等工作</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人员待遇</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4"/>
                <w:rFonts w:hint="eastAsia" w:ascii="仿宋_GB2312" w:hAnsi="仿宋_GB2312" w:eastAsia="仿宋_GB2312" w:cs="仿宋_GB2312"/>
                <w:b w:val="0"/>
                <w:bCs w:val="0"/>
                <w:sz w:val="18"/>
                <w:szCs w:val="18"/>
                <w:lang w:val="en-US" w:eastAsia="zh-CN" w:bidi="ar"/>
              </w:rPr>
              <w:t>6人</w:t>
            </w:r>
            <w:r>
              <w:rPr>
                <w:rStyle w:val="15"/>
                <w:rFonts w:hint="eastAsia" w:ascii="仿宋_GB2312" w:hAnsi="仿宋_GB2312" w:eastAsia="仿宋_GB2312" w:cs="仿宋_GB2312"/>
                <w:b w:val="0"/>
                <w:bCs w:val="0"/>
                <w:sz w:val="18"/>
                <w:szCs w:val="18"/>
                <w:lang w:val="en-US" w:eastAsia="zh-CN" w:bidi="ar"/>
              </w:rPr>
              <w:t>×</w:t>
            </w:r>
            <w:r>
              <w:rPr>
                <w:rStyle w:val="14"/>
                <w:rFonts w:hint="eastAsia" w:ascii="仿宋_GB2312" w:hAnsi="仿宋_GB2312" w:eastAsia="仿宋_GB2312" w:cs="仿宋_GB2312"/>
                <w:b w:val="0"/>
                <w:bCs w:val="0"/>
                <w:sz w:val="18"/>
                <w:szCs w:val="18"/>
                <w:lang w:val="en-US" w:eastAsia="zh-CN" w:bidi="ar"/>
              </w:rPr>
              <w:t>2,500.00元/人*月×12月=180,000.00元/年</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劳保用品</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6人×600.00元/人*年=3,600.00元/年</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用工保障</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6人×800.00元/人*年=4,800.00元/年</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按实际产生结算、向保险公司购买雇主责任险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8</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人员派遣服务</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4"/>
                <w:rFonts w:hint="eastAsia" w:ascii="仿宋_GB2312" w:hAnsi="仿宋_GB2312" w:eastAsia="仿宋_GB2312" w:cs="仿宋_GB2312"/>
                <w:b w:val="0"/>
                <w:bCs w:val="0"/>
                <w:sz w:val="18"/>
                <w:szCs w:val="18"/>
                <w:lang w:val="en-US" w:eastAsia="zh-CN" w:bidi="ar"/>
              </w:rPr>
              <w:t>6人</w:t>
            </w:r>
            <w:r>
              <w:rPr>
                <w:rStyle w:val="15"/>
                <w:rFonts w:hint="eastAsia" w:ascii="仿宋_GB2312" w:hAnsi="仿宋_GB2312" w:eastAsia="仿宋_GB2312" w:cs="仿宋_GB2312"/>
                <w:b w:val="0"/>
                <w:bCs w:val="0"/>
                <w:sz w:val="18"/>
                <w:szCs w:val="18"/>
                <w:lang w:val="en-US" w:eastAsia="zh-CN" w:bidi="ar"/>
              </w:rPr>
              <w:t>×</w:t>
            </w:r>
            <w:r>
              <w:rPr>
                <w:rStyle w:val="14"/>
                <w:rFonts w:hint="eastAsia" w:ascii="仿宋_GB2312" w:hAnsi="仿宋_GB2312" w:eastAsia="仿宋_GB2312" w:cs="仿宋_GB2312"/>
                <w:b w:val="0"/>
                <w:bCs w:val="0"/>
                <w:sz w:val="18"/>
                <w:szCs w:val="18"/>
                <w:lang w:val="en-US" w:eastAsia="zh-CN" w:bidi="ar"/>
              </w:rPr>
              <w:t>50.00元/人*月×12月=3,600.00元/年</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按实际产生结算、支付人力资源公司</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派遣费用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技能培训</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 xml:space="preserve">          4,500.00元/年</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11</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按实际配置人数计算</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按实际配置人数计算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2" w:hRule="atLeast"/>
        </w:trPr>
        <w:tc>
          <w:tcPr>
            <w:tcW w:w="8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二</w:t>
            </w:r>
          </w:p>
        </w:tc>
        <w:tc>
          <w:tcPr>
            <w:tcW w:w="76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公共设施设备运行维护费</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地面、墙面、台面及吊顶、门窗、楼梯、通风道等的日常维护维修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12,175.00平方米×0.66元/平方米*月×12月=96,426.00元/年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 xml:space="preserve">卫生间设施的       </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41间×250.00元/间*年=10,250.00元/年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供排水设施、管道的日常维护维修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1,000.00米×3.00元/米*年=3,000.00元/年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供电控制设施的日常维护维修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25个×100.00元/个*年=2,500.00元/年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供电线路设施的日常维护维修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4"/>
                <w:rFonts w:hint="eastAsia" w:ascii="仿宋_GB2312" w:hAnsi="仿宋_GB2312" w:eastAsia="仿宋_GB2312" w:cs="仿宋_GB2312"/>
                <w:b w:val="0"/>
                <w:bCs w:val="0"/>
                <w:sz w:val="18"/>
                <w:szCs w:val="18"/>
                <w:lang w:val="en-US" w:eastAsia="zh-CN" w:bidi="ar"/>
              </w:rPr>
              <w:t>10</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4"/>
                <w:rFonts w:hint="eastAsia" w:ascii="仿宋_GB2312" w:hAnsi="仿宋_GB2312" w:eastAsia="仿宋_GB2312" w:cs="仿宋_GB2312"/>
                <w:b w:val="0"/>
                <w:bCs w:val="0"/>
                <w:sz w:val="18"/>
                <w:szCs w:val="18"/>
                <w:lang w:val="en-US" w:eastAsia="zh-CN" w:bidi="ar"/>
              </w:rPr>
              <w:t>000.00米</w:t>
            </w:r>
            <w:r>
              <w:rPr>
                <w:rStyle w:val="15"/>
                <w:rFonts w:hint="eastAsia" w:ascii="仿宋_GB2312" w:hAnsi="仿宋_GB2312" w:eastAsia="仿宋_GB2312" w:cs="仿宋_GB2312"/>
                <w:b w:val="0"/>
                <w:bCs w:val="0"/>
                <w:sz w:val="18"/>
                <w:szCs w:val="18"/>
                <w:lang w:val="en-US" w:eastAsia="zh-CN" w:bidi="ar"/>
              </w:rPr>
              <w:t>×</w:t>
            </w:r>
            <w:r>
              <w:rPr>
                <w:rStyle w:val="14"/>
                <w:rFonts w:hint="eastAsia" w:ascii="仿宋_GB2312" w:hAnsi="仿宋_GB2312" w:eastAsia="仿宋_GB2312" w:cs="仿宋_GB2312"/>
                <w:b w:val="0"/>
                <w:bCs w:val="0"/>
                <w:sz w:val="18"/>
                <w:szCs w:val="18"/>
                <w:lang w:val="en-US" w:eastAsia="zh-CN" w:bidi="ar"/>
              </w:rPr>
              <w:t>0.20元/年=2</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4"/>
                <w:rFonts w:hint="eastAsia" w:ascii="仿宋_GB2312" w:hAnsi="仿宋_GB2312" w:eastAsia="仿宋_GB2312" w:cs="仿宋_GB2312"/>
                <w:b w:val="0"/>
                <w:bCs w:val="0"/>
                <w:sz w:val="18"/>
                <w:szCs w:val="18"/>
                <w:lang w:val="en-US" w:eastAsia="zh-CN" w:bidi="ar"/>
              </w:rPr>
              <w:t>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照明设施的</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300个*20.00元/个=6,000.00元/年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用电开关、插座等设施的日常维护维修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300个*10.00元/个*年=3,000.00元/年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8</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消防灭火器的日常维护维修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100只*30.00元/只*年=3,000.00元/年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消防消火栓的日常维护维修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20只*50.00元/只=1,000.00元/年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10</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消防烟感探测器的日常维护维修</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1、维保费：50个*10.00元/个*年=500.00元/年</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2、材料费：1,000.00元/年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11</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下水道、污水沟的</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 xml:space="preserve">日常清理   </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1500.00米×5.00元/米=7,500.00元/年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12</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 xml:space="preserve">化粪池的日常清理   </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5个×4车次/个×300.00元/车次=6,000.00元/年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2" w:hRule="atLeast"/>
        </w:trPr>
        <w:tc>
          <w:tcPr>
            <w:tcW w:w="8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三</w:t>
            </w:r>
          </w:p>
        </w:tc>
        <w:tc>
          <w:tcPr>
            <w:tcW w:w="76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绿化养护费</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肥料</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0.20元/平方米*次*1,000.00平方米*4次/年=800.00元/年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农药</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0.20元/平方米*次*1,000.00平方米*6次/年=1,200.00元/年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工具及浇水等设施检修、更新</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1,000.00元/年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剪枝刀、镰刀、油锯、喷药器、塑料水管、水管接头、水管球阀等，按实际产生结算。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树木防冻处理</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3,000.00元/年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石灰涂白工艺的</w:t>
            </w:r>
            <w:r>
              <w:rPr>
                <w:rStyle w:val="14"/>
                <w:rFonts w:hint="eastAsia" w:ascii="仿宋_GB2312" w:hAnsi="仿宋_GB2312" w:eastAsia="仿宋_GB2312" w:cs="仿宋_GB2312"/>
                <w:b w:val="0"/>
                <w:bCs w:val="0"/>
                <w:sz w:val="18"/>
                <w:szCs w:val="18"/>
                <w:lang w:val="en-US" w:eastAsia="zh-CN" w:bidi="ar"/>
              </w:rPr>
              <w:br w:type="textWrapping"/>
            </w:r>
            <w:r>
              <w:rPr>
                <w:rStyle w:val="14"/>
                <w:rFonts w:hint="eastAsia" w:ascii="仿宋_GB2312" w:hAnsi="仿宋_GB2312" w:eastAsia="仿宋_GB2312" w:cs="仿宋_GB2312"/>
                <w:b w:val="0"/>
                <w:bCs w:val="0"/>
                <w:sz w:val="18"/>
                <w:szCs w:val="18"/>
                <w:lang w:val="en-US" w:eastAsia="zh-CN" w:bidi="ar"/>
              </w:rPr>
              <w:t>材料及人工费用，按实际产生结算。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年度大修剪</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5,000.00元/年</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单棵类树种的隐患、遮挡、造型的修剪及清理处理，按实际产生结算。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8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四</w:t>
            </w:r>
          </w:p>
        </w:tc>
        <w:tc>
          <w:tcPr>
            <w:tcW w:w="76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保洁服务用品费</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保洁工具、用品</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9,000.00元（扫把、拖把、毛巾、撮箕、垃圾袋、便盆刷、洗洁精、消毒液、杀虫剂等）</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垃圾桶</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78只×8.00元/只=624.00元/年</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473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8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8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五</w:t>
            </w:r>
          </w:p>
        </w:tc>
        <w:tc>
          <w:tcPr>
            <w:tcW w:w="76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运行成本合计（甲、乙双方据实结算）此项为</w:t>
            </w:r>
            <w:r>
              <w:rPr>
                <w:rFonts w:hint="eastAsia" w:ascii="仿宋_GB2312" w:hAnsi="仿宋_GB2312" w:eastAsia="仿宋_GB2312" w:cs="仿宋_GB2312"/>
                <w:b w:val="0"/>
                <w:bCs w:val="0"/>
                <w:i w:val="0"/>
                <w:color w:val="auto"/>
                <w:kern w:val="0"/>
                <w:sz w:val="18"/>
                <w:szCs w:val="18"/>
                <w:highlight w:val="none"/>
                <w:u w:val="none"/>
                <w:lang w:val="en-US" w:eastAsia="zh-CN" w:bidi="ar"/>
              </w:rPr>
              <w:t>预计</w:t>
            </w:r>
            <w:r>
              <w:rPr>
                <w:rFonts w:hint="eastAsia" w:ascii="仿宋_GB2312" w:hAnsi="仿宋_GB2312" w:eastAsia="仿宋_GB2312" w:cs="仿宋_GB2312"/>
                <w:b w:val="0"/>
                <w:bCs w:val="0"/>
                <w:i w:val="0"/>
                <w:color w:val="000000"/>
                <w:kern w:val="0"/>
                <w:sz w:val="18"/>
                <w:szCs w:val="18"/>
                <w:u w:val="none"/>
                <w:lang w:val="en-US" w:eastAsia="zh-CN" w:bidi="ar"/>
              </w:rPr>
              <w:t>成本</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76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164,500.00元+142,176.00元+11,000.00元+9,624.00元=327,300.00元</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2" w:hRule="atLeast"/>
        </w:trPr>
        <w:tc>
          <w:tcPr>
            <w:tcW w:w="8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六</w:t>
            </w:r>
          </w:p>
        </w:tc>
        <w:tc>
          <w:tcPr>
            <w:tcW w:w="76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运营服务管理费</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b w:val="0"/>
                <w:bCs w:val="0"/>
                <w:i w:val="0"/>
                <w:color w:val="000000"/>
                <w:sz w:val="18"/>
                <w:szCs w:val="18"/>
                <w:u w:val="none"/>
              </w:rPr>
            </w:pPr>
          </w:p>
        </w:tc>
        <w:tc>
          <w:tcPr>
            <w:tcW w:w="76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lang w:val="en-US" w:eastAsia="zh-CN"/>
              </w:rPr>
            </w:pPr>
            <w:r>
              <w:rPr>
                <w:rFonts w:hint="eastAsia" w:ascii="仿宋_GB2312" w:hAnsi="仿宋_GB2312" w:eastAsia="仿宋_GB2312" w:cs="仿宋_GB2312"/>
                <w:b w:val="0"/>
                <w:bCs w:val="0"/>
                <w:i w:val="0"/>
                <w:color w:val="000000"/>
                <w:sz w:val="18"/>
                <w:szCs w:val="18"/>
                <w:u w:val="none"/>
                <w:lang w:val="en-US" w:eastAsia="zh-CN"/>
              </w:rPr>
              <w:t>按10.00%计算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_GB2312" w:hAnsi="仿宋_GB2312" w:eastAsia="仿宋_GB2312" w:cs="仿宋_GB2312"/>
                <w:b w:val="0"/>
                <w:bCs w:val="0"/>
                <w:i w:val="0"/>
                <w:color w:val="000000"/>
                <w:sz w:val="18"/>
                <w:szCs w:val="18"/>
                <w:u w:val="none"/>
              </w:rPr>
            </w:pPr>
          </w:p>
        </w:tc>
      </w:tr>
    </w:tbl>
    <w:p>
      <w:pPr>
        <w:widowControl/>
        <w:numPr>
          <w:ilvl w:val="0"/>
          <w:numId w:val="0"/>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计划开展时间：</w:t>
      </w:r>
      <w:r>
        <w:rPr>
          <w:rFonts w:hint="default" w:ascii="Times New Roman" w:hAnsi="Times New Roman" w:eastAsia="仿宋_GB2312" w:cs="Times New Roman"/>
          <w:color w:val="auto"/>
          <w:kern w:val="0"/>
          <w:sz w:val="32"/>
          <w:szCs w:val="32"/>
          <w:highlight w:val="none"/>
        </w:rPr>
        <w:t>202</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年1月至12月</w:t>
      </w:r>
    </w:p>
    <w:p>
      <w:pPr>
        <w:widowControl/>
        <w:numPr>
          <w:ilvl w:val="0"/>
          <w:numId w:val="0"/>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完成设施设备</w:t>
      </w:r>
      <w:r>
        <w:rPr>
          <w:rFonts w:hint="eastAsia" w:eastAsia="仿宋_GB2312" w:cs="Times New Roman"/>
          <w:color w:val="auto"/>
          <w:kern w:val="0"/>
          <w:sz w:val="32"/>
          <w:szCs w:val="32"/>
          <w:highlight w:val="none"/>
          <w:lang w:val="en-US" w:eastAsia="zh-CN"/>
        </w:rPr>
        <w:t>安全检查</w:t>
      </w:r>
      <w:r>
        <w:rPr>
          <w:rFonts w:hint="eastAsia" w:ascii="Times New Roman" w:hAnsi="Times New Roman" w:eastAsia="仿宋_GB2312" w:cs="Times New Roman"/>
          <w:color w:val="auto"/>
          <w:kern w:val="0"/>
          <w:sz w:val="32"/>
          <w:szCs w:val="32"/>
          <w:highlight w:val="none"/>
          <w:lang w:val="en-US" w:eastAsia="zh-CN"/>
        </w:rPr>
        <w:t>次数大于300天以上，保证设备正常运行</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保证警示教育基地日常运行、管理维护“玉溪市监察委员会留置场所新平分点</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办案点</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进一步提升玉溪市留置隔离专区服务保障能力和水平</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维护基础设施正常运转，保证单位日常运行</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推进纪律教育常态化、警示教育长效化</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提高后勤服务质量助推市县纪委监委审查调查工作。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pStyle w:val="4"/>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方正黑体_GBK" w:hAnsi="方正黑体_GBK" w:eastAsia="方正黑体_GBK" w:cs="方正黑体_GBK"/>
          <w:kern w:val="0"/>
          <w:sz w:val="32"/>
          <w:szCs w:val="32"/>
          <w:lang w:val="en-US" w:eastAsia="zh-CN"/>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0104F"/>
    <w:multiLevelType w:val="singleLevel"/>
    <w:tmpl w:val="90C0104F"/>
    <w:lvl w:ilvl="0" w:tentative="0">
      <w:start w:val="1"/>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pPr>
        <w:ind w:left="-10"/>
      </w:pPr>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2OTNkMWNhZDgyNWFkMTczOTg2ZTFjOTg3OGYxY2E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04EEA"/>
    <w:rsid w:val="027F376D"/>
    <w:rsid w:val="06E635A4"/>
    <w:rsid w:val="08313177"/>
    <w:rsid w:val="08A73283"/>
    <w:rsid w:val="09570594"/>
    <w:rsid w:val="095A6BC7"/>
    <w:rsid w:val="0A712782"/>
    <w:rsid w:val="0AEA68A4"/>
    <w:rsid w:val="0AF93C7A"/>
    <w:rsid w:val="0BB463CA"/>
    <w:rsid w:val="0BF0023F"/>
    <w:rsid w:val="0D101529"/>
    <w:rsid w:val="0D3274FF"/>
    <w:rsid w:val="0D624B2B"/>
    <w:rsid w:val="0DD43724"/>
    <w:rsid w:val="11650C4C"/>
    <w:rsid w:val="11834CC9"/>
    <w:rsid w:val="12842DC1"/>
    <w:rsid w:val="132D3E3D"/>
    <w:rsid w:val="14980058"/>
    <w:rsid w:val="14AB2995"/>
    <w:rsid w:val="15642683"/>
    <w:rsid w:val="16A55742"/>
    <w:rsid w:val="17D77024"/>
    <w:rsid w:val="190147E5"/>
    <w:rsid w:val="192C6D7E"/>
    <w:rsid w:val="1A1F19FB"/>
    <w:rsid w:val="1A781B2B"/>
    <w:rsid w:val="1A9A2B8E"/>
    <w:rsid w:val="1B2F1E17"/>
    <w:rsid w:val="1CAC5BC3"/>
    <w:rsid w:val="1D3F6526"/>
    <w:rsid w:val="1DCA377F"/>
    <w:rsid w:val="1E5B71FB"/>
    <w:rsid w:val="1E8D6355"/>
    <w:rsid w:val="1EDA0AB8"/>
    <w:rsid w:val="1EEC4E5D"/>
    <w:rsid w:val="209F2EF9"/>
    <w:rsid w:val="20B67AE3"/>
    <w:rsid w:val="20B87907"/>
    <w:rsid w:val="22C00116"/>
    <w:rsid w:val="23B140D4"/>
    <w:rsid w:val="24B17272"/>
    <w:rsid w:val="24CD307F"/>
    <w:rsid w:val="25371A5C"/>
    <w:rsid w:val="25CA3605"/>
    <w:rsid w:val="2656398A"/>
    <w:rsid w:val="26577FCE"/>
    <w:rsid w:val="29057462"/>
    <w:rsid w:val="297056D3"/>
    <w:rsid w:val="297B48C3"/>
    <w:rsid w:val="298D44D8"/>
    <w:rsid w:val="29FF2103"/>
    <w:rsid w:val="2B114DC2"/>
    <w:rsid w:val="2ECC74A6"/>
    <w:rsid w:val="2F2B24D5"/>
    <w:rsid w:val="30487007"/>
    <w:rsid w:val="31315A5C"/>
    <w:rsid w:val="31661A20"/>
    <w:rsid w:val="33C4534A"/>
    <w:rsid w:val="33FE11A9"/>
    <w:rsid w:val="344C7778"/>
    <w:rsid w:val="34534D99"/>
    <w:rsid w:val="34570D90"/>
    <w:rsid w:val="34F0004B"/>
    <w:rsid w:val="37921A4F"/>
    <w:rsid w:val="388E1489"/>
    <w:rsid w:val="38A327F3"/>
    <w:rsid w:val="39294DC6"/>
    <w:rsid w:val="3C127D98"/>
    <w:rsid w:val="3E315A07"/>
    <w:rsid w:val="3F1554DB"/>
    <w:rsid w:val="3F527F87"/>
    <w:rsid w:val="41F77E1C"/>
    <w:rsid w:val="43587064"/>
    <w:rsid w:val="446C50AF"/>
    <w:rsid w:val="44AF4C81"/>
    <w:rsid w:val="45E2495B"/>
    <w:rsid w:val="487072C2"/>
    <w:rsid w:val="48F549A5"/>
    <w:rsid w:val="49D13A3E"/>
    <w:rsid w:val="4A312293"/>
    <w:rsid w:val="4B2B6056"/>
    <w:rsid w:val="4C4136E8"/>
    <w:rsid w:val="4C692B3F"/>
    <w:rsid w:val="4C706ACD"/>
    <w:rsid w:val="4D2D1C45"/>
    <w:rsid w:val="4D375F02"/>
    <w:rsid w:val="4DDF562B"/>
    <w:rsid w:val="514116EF"/>
    <w:rsid w:val="52F61A46"/>
    <w:rsid w:val="53486119"/>
    <w:rsid w:val="53A830A6"/>
    <w:rsid w:val="55A05383"/>
    <w:rsid w:val="563773D9"/>
    <w:rsid w:val="592E6F80"/>
    <w:rsid w:val="59473369"/>
    <w:rsid w:val="59583F24"/>
    <w:rsid w:val="59DF6B4D"/>
    <w:rsid w:val="5A0A3180"/>
    <w:rsid w:val="5B7A281D"/>
    <w:rsid w:val="5B7D02F3"/>
    <w:rsid w:val="5D144127"/>
    <w:rsid w:val="617265A9"/>
    <w:rsid w:val="63C27A4D"/>
    <w:rsid w:val="63CA58BF"/>
    <w:rsid w:val="647C6D32"/>
    <w:rsid w:val="65185CE6"/>
    <w:rsid w:val="65187DCA"/>
    <w:rsid w:val="65222B6E"/>
    <w:rsid w:val="68770443"/>
    <w:rsid w:val="689D7DAF"/>
    <w:rsid w:val="6BA25BA1"/>
    <w:rsid w:val="6E2E4332"/>
    <w:rsid w:val="6E2F17C8"/>
    <w:rsid w:val="6EFE2E23"/>
    <w:rsid w:val="6F1A39FC"/>
    <w:rsid w:val="6F655B31"/>
    <w:rsid w:val="6FC91A6F"/>
    <w:rsid w:val="70ED12F4"/>
    <w:rsid w:val="73C36B94"/>
    <w:rsid w:val="7453702F"/>
    <w:rsid w:val="75465E53"/>
    <w:rsid w:val="77553161"/>
    <w:rsid w:val="784C5D33"/>
    <w:rsid w:val="79C13CAF"/>
    <w:rsid w:val="79D064B7"/>
    <w:rsid w:val="7B94386F"/>
    <w:rsid w:val="7CB87F45"/>
    <w:rsid w:val="7CD63E8E"/>
    <w:rsid w:val="7E2A2907"/>
    <w:rsid w:val="7E8E6727"/>
    <w:rsid w:val="7EB649F5"/>
    <w:rsid w:val="7F273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font161"/>
    <w:basedOn w:val="11"/>
    <w:qFormat/>
    <w:uiPriority w:val="0"/>
    <w:rPr>
      <w:rFonts w:hint="eastAsia" w:ascii="楷体" w:hAnsi="楷体" w:eastAsia="楷体" w:cs="楷体"/>
      <w:color w:val="000000"/>
      <w:sz w:val="22"/>
      <w:szCs w:val="22"/>
      <w:u w:val="none"/>
    </w:rPr>
  </w:style>
  <w:style w:type="character" w:customStyle="1" w:styleId="15">
    <w:name w:val="font01"/>
    <w:basedOn w:val="1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9</Pages>
  <Words>3088</Words>
  <Characters>3807</Characters>
  <Lines>35</Lines>
  <Paragraphs>10</Paragraphs>
  <TotalTime>1</TotalTime>
  <ScaleCrop>false</ScaleCrop>
  <LinksUpToDate>false</LinksUpToDate>
  <CharactersWithSpaces>3839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Mr.Bean</cp:lastModifiedBy>
  <cp:lastPrinted>2023-01-28T09:42:00Z</cp:lastPrinted>
  <dcterms:modified xsi:type="dcterms:W3CDTF">2023-08-24T13:12:48Z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A39B6370638241CA86131616258ED2BD</vt:lpwstr>
  </property>
</Properties>
</file>