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bookmarkStart w:id="0" w:name="_GoBack"/>
      <w:bookmarkEnd w:id="0"/>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w:pPr>
        <w:pStyle w:val="4"/>
        <w:spacing w:line="590" w:lineRule="exact"/>
        <w:rPr>
          <w:rFonts w:ascii="Times New Roman" w:hAnsi="Times New Roman" w:eastAsia="方正黑体_GBK"/>
          <w:kern w:val="0"/>
          <w:sz w:val="32"/>
          <w:szCs w:val="32"/>
        </w:rPr>
      </w:pPr>
    </w:p>
    <w:p>
      <w:pPr>
        <w:snapToGrid w:val="0"/>
        <w:spacing w:line="590" w:lineRule="exact"/>
        <w:jc w:val="center"/>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val="en-US" w:eastAsia="zh-CN"/>
        </w:rPr>
        <w:t>新平彝族傣族自治县水利</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w:t>
      </w:r>
    </w:p>
    <w:p>
      <w:pPr>
        <w:snapToGrid w:val="0"/>
        <w:spacing w:line="590" w:lineRule="exact"/>
        <w:jc w:val="center"/>
        <w:rPr>
          <w:rFonts w:ascii="Times New Roman" w:hAnsi="Times New Roman"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重点领域财政项目文本公开</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ascii="Times New Roman" w:hAnsi="Times New Roman"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绿汁江新平县老厂乡段治理工程</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绿汁江新平县老厂乡段治理工程是列入《云南省水利厅关于印发2021年水利建设重点项目清单》（云水规计（2020）49号）的规划建设项目，2021年7月23日，玉溪市发展和改革委员会、玉溪市水利局以《玉溪市发展和改革委员会  玉溪市水利局关对绿汁江新平县老厂乡段治理工程可行性研究报告的批复》（玉发改农经复〔2021〕32号）批复同意项目建设。</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根据《玉溪市发展和改革委员会  玉溪市水利局关对绿汁江新平县老厂乡段治理工程可行性研究报告的批复》（玉发改农经复〔2021〕32号），绿汁江新平县老厂乡段治理工程由已组建的绿汁江新平县段治理工程建设管理局作为项目法人实施建设。该项目采用设计施工总承包（EPC）模式建设，经公开招标确定</w:t>
      </w:r>
      <w:r>
        <w:rPr>
          <w:rFonts w:hint="eastAsia" w:eastAsia="方正仿宋_GBK" w:cs="方正仿宋_GBK"/>
          <w:kern w:val="0"/>
          <w:sz w:val="32"/>
          <w:szCs w:val="32"/>
          <w:lang w:val="en-US" w:eastAsia="zh-CN"/>
        </w:rPr>
        <w:t>由</w:t>
      </w:r>
      <w:r>
        <w:rPr>
          <w:rFonts w:hint="eastAsia" w:ascii="Times New Roman" w:hAnsi="Times New Roman" w:eastAsia="方正仿宋_GBK" w:cs="方正仿宋_GBK"/>
          <w:kern w:val="0"/>
          <w:sz w:val="32"/>
          <w:szCs w:val="32"/>
          <w:lang w:val="en-US" w:eastAsia="zh-CN"/>
        </w:rPr>
        <w:t>中国电建集团北京勘测设计研究院有限公司承担项目设计及施工总承包（EPC）业务。项目初步设计报告取得批复后，工程建设管理局经公开招标确定了监理单位，经询价比选确定了第三方质量检测、全过程造价咨询单位。项目参建单位如下：</w:t>
      </w:r>
    </w:p>
    <w:p>
      <w:pPr>
        <w:pStyle w:val="4"/>
        <w:keepNext w:val="0"/>
        <w:keepLines w:val="0"/>
        <w:pageBreakBefore w:val="0"/>
        <w:kinsoku/>
        <w:wordWrap/>
        <w:overflowPunct/>
        <w:topLinePunct w:val="0"/>
        <w:autoSpaceDE/>
        <w:autoSpaceDN/>
        <w:bidi w:val="0"/>
        <w:adjustRightInd/>
        <w:spacing w:line="580" w:lineRule="exac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rPr>
        <w:t>建设单位：</w:t>
      </w:r>
      <w:r>
        <w:rPr>
          <w:rFonts w:hint="eastAsia" w:ascii="Times New Roman" w:hAnsi="Times New Roman" w:eastAsia="方正仿宋_GBK" w:cs="方正仿宋_GBK"/>
          <w:kern w:val="0"/>
          <w:sz w:val="32"/>
          <w:szCs w:val="32"/>
          <w:lang w:val="en-US" w:eastAsia="zh-CN"/>
        </w:rPr>
        <w:t>绿汁江新平县段治理工程建设管理局</w:t>
      </w:r>
    </w:p>
    <w:p>
      <w:pPr>
        <w:pStyle w:val="4"/>
        <w:keepNext w:val="0"/>
        <w:keepLines w:val="0"/>
        <w:pageBreakBefore w:val="0"/>
        <w:kinsoku/>
        <w:wordWrap/>
        <w:overflowPunct/>
        <w:topLinePunct w:val="0"/>
        <w:autoSpaceDE/>
        <w:autoSpaceDN/>
        <w:bidi w:val="0"/>
        <w:adjustRightInd/>
        <w:spacing w:line="580" w:lineRule="exac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rPr>
        <w:t>监理单位：</w:t>
      </w:r>
      <w:r>
        <w:rPr>
          <w:rFonts w:hint="eastAsia" w:ascii="Times New Roman" w:hAnsi="Times New Roman" w:eastAsia="方正仿宋_GBK" w:cs="方正仿宋_GBK"/>
          <w:kern w:val="0"/>
          <w:sz w:val="32"/>
          <w:szCs w:val="32"/>
          <w:lang w:val="en-US" w:eastAsia="zh-CN"/>
        </w:rPr>
        <w:t>利水工程咨询有限公司</w:t>
      </w:r>
    </w:p>
    <w:p>
      <w:pPr>
        <w:pStyle w:val="4"/>
        <w:keepNext w:val="0"/>
        <w:keepLines w:val="0"/>
        <w:pageBreakBefore w:val="0"/>
        <w:kinsoku/>
        <w:wordWrap/>
        <w:overflowPunct/>
        <w:topLinePunct w:val="0"/>
        <w:autoSpaceDE/>
        <w:autoSpaceDN/>
        <w:bidi w:val="0"/>
        <w:adjustRightInd/>
        <w:spacing w:line="580" w:lineRule="exac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rPr>
        <w:t>第三方质量检测单位：</w:t>
      </w:r>
      <w:r>
        <w:rPr>
          <w:rFonts w:hint="eastAsia" w:ascii="Times New Roman" w:hAnsi="Times New Roman" w:eastAsia="方正仿宋_GBK" w:cs="方正仿宋_GBK"/>
          <w:kern w:val="0"/>
          <w:sz w:val="32"/>
          <w:szCs w:val="32"/>
          <w:lang w:val="en-US" w:eastAsia="zh-CN"/>
        </w:rPr>
        <w:t>云南博泰工程技术检测有限公司</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rPr>
        <w:t>全过程造价咨询单位：</w:t>
      </w:r>
      <w:r>
        <w:rPr>
          <w:rFonts w:hint="eastAsia" w:ascii="Times New Roman" w:hAnsi="Times New Roman" w:eastAsia="方正仿宋_GBK" w:cs="方正仿宋_GBK"/>
          <w:kern w:val="0"/>
          <w:sz w:val="32"/>
          <w:szCs w:val="32"/>
          <w:lang w:val="en-US" w:eastAsia="zh-CN"/>
        </w:rPr>
        <w:t>玉溪楷元工程造价咨询有限公司</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Times New Roman" w:hAnsi="Times New Roman" w:eastAsia="方正仿宋_GBK" w:cs="方正仿宋_GBK"/>
          <w:spacing w:val="-20"/>
          <w:kern w:val="0"/>
          <w:sz w:val="32"/>
          <w:szCs w:val="32"/>
          <w:lang w:val="en-US" w:eastAsia="zh-CN"/>
        </w:rPr>
      </w:pPr>
      <w:r>
        <w:rPr>
          <w:rFonts w:hint="eastAsia" w:ascii="Times New Roman" w:hAnsi="Times New Roman" w:eastAsia="方正仿宋_GBK" w:cs="方正仿宋_GBK"/>
          <w:b/>
          <w:bCs/>
          <w:kern w:val="0"/>
          <w:sz w:val="32"/>
          <w:szCs w:val="32"/>
          <w:lang w:val="en-US" w:eastAsia="zh-CN"/>
        </w:rPr>
        <w:t>设计施工总承包单位：</w:t>
      </w:r>
      <w:r>
        <w:rPr>
          <w:rFonts w:hint="eastAsia" w:ascii="Times New Roman" w:hAnsi="Times New Roman" w:eastAsia="方正仿宋_GBK" w:cs="方正仿宋_GBK"/>
          <w:spacing w:val="-20"/>
          <w:kern w:val="0"/>
          <w:sz w:val="32"/>
          <w:szCs w:val="32"/>
          <w:lang w:val="en-US" w:eastAsia="zh-CN"/>
        </w:rPr>
        <w:t>中国电建集团北京勘测设计研究院有限公司</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绿汁江新平县老厂乡段治理工程是列入《云南省水利厅关于印发2021年水利建设重点项目清单》（云水规计（2020）49号）的规划建设项目之一，是我县绿汁江治理的二期工程。</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绿汁江是玉溪市新平县和楚雄州双柏县的界河，是红河上段元江左岸一级支流，流域面积8613km</w:t>
      </w:r>
      <w:r>
        <w:rPr>
          <w:rFonts w:hint="eastAsia" w:ascii="Times New Roman" w:hAnsi="Times New Roman" w:eastAsia="方正仿宋_GBK" w:cs="方正仿宋_GBK"/>
          <w:kern w:val="0"/>
          <w:sz w:val="32"/>
          <w:szCs w:val="32"/>
          <w:vertAlign w:val="superscript"/>
          <w:lang w:val="en-US" w:eastAsia="zh-CN"/>
        </w:rPr>
        <w:t>2</w:t>
      </w:r>
      <w:r>
        <w:rPr>
          <w:rFonts w:hint="eastAsia" w:ascii="Times New Roman" w:hAnsi="Times New Roman" w:eastAsia="方正仿宋_GBK" w:cs="方正仿宋_GBK"/>
          <w:kern w:val="0"/>
          <w:sz w:val="32"/>
          <w:szCs w:val="32"/>
          <w:lang w:val="en-US" w:eastAsia="zh-CN"/>
        </w:rPr>
        <w:t>，河长294km，河道平均比降5.6‰。绿汁江新平县老厂乡段位于绿汁江下段，控制径流面积在7479～8043km</w:t>
      </w:r>
      <w:r>
        <w:rPr>
          <w:rFonts w:hint="eastAsia" w:ascii="Times New Roman" w:hAnsi="Times New Roman" w:eastAsia="方正仿宋_GBK" w:cs="方正仿宋_GBK"/>
          <w:kern w:val="0"/>
          <w:sz w:val="32"/>
          <w:szCs w:val="32"/>
          <w:vertAlign w:val="superscript"/>
          <w:lang w:val="en-US" w:eastAsia="zh-CN"/>
        </w:rPr>
        <w:t>2</w:t>
      </w:r>
      <w:r>
        <w:rPr>
          <w:rFonts w:hint="eastAsia" w:ascii="Times New Roman" w:hAnsi="Times New Roman" w:eastAsia="方正仿宋_GBK" w:cs="方正仿宋_GBK"/>
          <w:kern w:val="0"/>
          <w:sz w:val="32"/>
          <w:szCs w:val="32"/>
          <w:lang w:val="en-US" w:eastAsia="zh-CN"/>
        </w:rPr>
        <w:t>之间，治理段10年一遇洪峰流量在1451m</w:t>
      </w:r>
      <w:r>
        <w:rPr>
          <w:rFonts w:hint="eastAsia" w:ascii="Times New Roman" w:hAnsi="Times New Roman" w:eastAsia="方正仿宋_GBK" w:cs="方正仿宋_GBK"/>
          <w:kern w:val="0"/>
          <w:sz w:val="32"/>
          <w:szCs w:val="32"/>
          <w:vertAlign w:val="superscript"/>
          <w:lang w:val="en-US" w:eastAsia="zh-CN"/>
        </w:rPr>
        <w:t>3</w:t>
      </w:r>
      <w:r>
        <w:rPr>
          <w:rFonts w:hint="eastAsia" w:ascii="Times New Roman" w:hAnsi="Times New Roman" w:eastAsia="方正仿宋_GBK" w:cs="方正仿宋_GBK"/>
          <w:kern w:val="0"/>
          <w:sz w:val="32"/>
          <w:szCs w:val="32"/>
          <w:lang w:val="en-US" w:eastAsia="zh-CN"/>
        </w:rPr>
        <w:t>/s~1523m</w:t>
      </w:r>
      <w:r>
        <w:rPr>
          <w:rFonts w:hint="eastAsia" w:ascii="Times New Roman" w:hAnsi="Times New Roman" w:eastAsia="方正仿宋_GBK" w:cs="方正仿宋_GBK"/>
          <w:kern w:val="0"/>
          <w:sz w:val="32"/>
          <w:szCs w:val="32"/>
          <w:vertAlign w:val="superscript"/>
          <w:lang w:val="en-US" w:eastAsia="zh-CN"/>
        </w:rPr>
        <w:t>3</w:t>
      </w:r>
      <w:r>
        <w:rPr>
          <w:rFonts w:hint="eastAsia" w:ascii="Times New Roman" w:hAnsi="Times New Roman" w:eastAsia="方正仿宋_GBK" w:cs="方正仿宋_GBK"/>
          <w:kern w:val="0"/>
          <w:sz w:val="32"/>
          <w:szCs w:val="32"/>
          <w:lang w:val="en-US" w:eastAsia="zh-CN"/>
        </w:rPr>
        <w:t>/s之间。通过治理河道20.131km，提高治理段防洪能力，改善河段生态景观，从而保护新平县老厂乡0.2万人和1.0万亩农田防洪安全。防洪标准为10年一遇，堤防工程级别为5级。</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项目实施内容</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仿宋_GBK" w:cs="方正仿宋_GBK"/>
          <w:kern w:val="0"/>
          <w:sz w:val="32"/>
          <w:szCs w:val="32"/>
          <w:lang w:val="en-US" w:eastAsia="zh-CN"/>
        </w:rPr>
        <w:t>本次治理范围为绿汁江左岸的新平县老厂乡勐炳村委会哪哩小组至转马都村委会多戈落小组河段，治理河道长20.131km，其中干流河道长19.473km，4条支流汇口河道长0.658km。治理堤防长11.355km，其中干流堤防长10.011km，4条支流汇口堤防长1.344km。堤防治理共分为10段，其中干流分为不连续6段，支流汇口4段。新建排涝口28座，其中干流26座，支流汇口4座。新建干流排洪口3座。</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资金安排情况</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2023年，本项目预算安排资金500万元。</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工程于2021年11月3日正式开工建设。目前，5年一遇洪水位以下埋石混凝土基础及浆砌石堤防工程已基本完成，完成土石方开挖18.11万m³，除部分支流外，已全部完成；完成混凝土浇筑4.18万m³，完成率为93%；完成浆砌石挡墙砌筑6.39万m³，完成率为96%；剩余工程主要包括砂砾石河堤碾压、雷诺网格护坡、堤顶泥结石路面、堤防排水沟等</w:t>
      </w:r>
      <w:r>
        <w:rPr>
          <w:rFonts w:hint="eastAsia" w:ascii="Times New Roman" w:hAnsi="Times New Roman" w:eastAsia="方正仿宋_GBK" w:cs="仿宋_GB2312"/>
          <w:sz w:val="32"/>
          <w:szCs w:val="32"/>
          <w:lang w:val="en-US" w:eastAsia="zh-CN"/>
        </w:rPr>
        <w:t>。工程累计</w:t>
      </w:r>
      <w:r>
        <w:rPr>
          <w:rFonts w:hint="eastAsia" w:ascii="Times New Roman" w:hAnsi="Times New Roman" w:eastAsia="方正仿宋_GBK" w:cs="仿宋_GB2312"/>
          <w:sz w:val="32"/>
          <w:szCs w:val="32"/>
        </w:rPr>
        <w:t>完成投资</w:t>
      </w:r>
      <w:r>
        <w:rPr>
          <w:rFonts w:hint="eastAsia" w:ascii="Times New Roman" w:hAnsi="Times New Roman" w:eastAsia="方正仿宋_GBK" w:cs="仿宋_GB2312"/>
          <w:sz w:val="32"/>
          <w:szCs w:val="32"/>
          <w:lang w:val="en-US" w:eastAsia="zh-CN"/>
        </w:rPr>
        <w:t>75</w:t>
      </w:r>
      <w:r>
        <w:rPr>
          <w:rFonts w:hint="eastAsia" w:ascii="Times New Roman" w:hAnsi="Times New Roman" w:eastAsia="方正仿宋_GBK" w:cs="仿宋_GB2312"/>
          <w:sz w:val="32"/>
          <w:szCs w:val="32"/>
        </w:rPr>
        <w:t>00万元</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lang w:val="en-US" w:eastAsia="zh-CN"/>
        </w:rPr>
        <w:t>含勘察设计、征占地、监理、质检及管理费等费用</w:t>
      </w:r>
      <w:r>
        <w:rPr>
          <w:rFonts w:hint="eastAsia" w:ascii="Times New Roman" w:hAnsi="Times New Roman" w:eastAsia="方正仿宋_GBK" w:cs="仿宋_GB2312"/>
          <w:sz w:val="32"/>
          <w:szCs w:val="32"/>
          <w:lang w:eastAsia="zh-CN"/>
        </w:rPr>
        <w:t>）</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val="en-US" w:eastAsia="zh-CN"/>
        </w:rPr>
        <w:t>占总投资的57%</w:t>
      </w:r>
      <w:r>
        <w:rPr>
          <w:rFonts w:hint="eastAsia" w:ascii="Times New Roman" w:hAnsi="Times New Roman"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黑体_GBK" w:cs="方正黑体_GBK"/>
          <w:kern w:val="0"/>
          <w:sz w:val="32"/>
          <w:szCs w:val="32"/>
          <w:lang w:val="en-US"/>
        </w:rPr>
      </w:pPr>
      <w:r>
        <w:rPr>
          <w:rFonts w:hint="eastAsia" w:ascii="Times New Roman" w:hAnsi="Times New Roman" w:eastAsia="方正仿宋_GBK" w:cs="方正仿宋_GBK"/>
          <w:sz w:val="32"/>
          <w:szCs w:val="32"/>
          <w:lang w:val="en-US" w:eastAsia="zh-CN"/>
        </w:rPr>
        <w:t>由于工程进度款拨付严重滞后，工程于2022年5月底停工，本次安排的资金计划用于支付应付未付工程款，力争项目复工建设。</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2023年预算安排资金计划用于支付应付未付工程款，支付后将为项目复工提供良好的条件。</w:t>
      </w:r>
    </w:p>
    <w:p>
      <w:pPr>
        <w:pStyle w:val="4"/>
        <w:keepNext w:val="0"/>
        <w:keepLines w:val="0"/>
        <w:pageBreakBefore w:val="0"/>
        <w:kinsoku/>
        <w:wordWrap/>
        <w:overflowPunct/>
        <w:topLinePunct w:val="0"/>
        <w:autoSpaceDE/>
        <w:autoSpaceDN/>
        <w:bidi w:val="0"/>
        <w:adjustRightInd/>
        <w:spacing w:line="580" w:lineRule="exact"/>
        <w:textAlignment w:val="auto"/>
        <w:rPr>
          <w:rFonts w:ascii="Times New Roman" w:hAnsi="Times New Roman"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2FlZGE1NDU2MDZkMmIyNDdmM2MxMzE0MDk0N2Y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C661F8"/>
    <w:rsid w:val="06901331"/>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3D5E31B0"/>
    <w:rsid w:val="42263FD0"/>
    <w:rsid w:val="446C50AF"/>
    <w:rsid w:val="44927E9E"/>
    <w:rsid w:val="44AF4C81"/>
    <w:rsid w:val="49D13A3E"/>
    <w:rsid w:val="4C706ACD"/>
    <w:rsid w:val="4D375F02"/>
    <w:rsid w:val="4DDF562B"/>
    <w:rsid w:val="53486119"/>
    <w:rsid w:val="55A05383"/>
    <w:rsid w:val="592E6F80"/>
    <w:rsid w:val="59473369"/>
    <w:rsid w:val="5B7D02F3"/>
    <w:rsid w:val="617265A9"/>
    <w:rsid w:val="622A2C51"/>
    <w:rsid w:val="689D7DAF"/>
    <w:rsid w:val="692D25AC"/>
    <w:rsid w:val="6E2F17C8"/>
    <w:rsid w:val="6F1A39FC"/>
    <w:rsid w:val="6FC91A6F"/>
    <w:rsid w:val="70ED12F4"/>
    <w:rsid w:val="73C36B94"/>
    <w:rsid w:val="7453702F"/>
    <w:rsid w:val="7C09194C"/>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tabs>
        <w:tab w:val="left" w:pos="544"/>
      </w:tabs>
      <w:spacing w:before="120"/>
    </w:pPr>
    <w:rPr>
      <w:rFonts w:ascii="Cambria" w:hAnsi="Cambria" w:cs="Cambria"/>
      <w:sz w:val="24"/>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Pages>
  <Words>1303</Words>
  <Characters>1466</Characters>
  <Lines>35</Lines>
  <Paragraphs>10</Paragraphs>
  <TotalTime>0</TotalTime>
  <ScaleCrop>false</ScaleCrop>
  <LinksUpToDate>false</LinksUpToDate>
  <CharactersWithSpaces>1470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卢伟亮</cp:lastModifiedBy>
  <cp:lastPrinted>2023-01-28T09:42:00Z</cp:lastPrinted>
  <dcterms:modified xsi:type="dcterms:W3CDTF">2023-09-21T08:09:43Z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6F258B13D5DE4861BCED5E4312913310_13</vt:lpwstr>
  </property>
</Properties>
</file>