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0" w:lineRule="exact"/>
        <w:jc w:val="center"/>
        <w:rPr>
          <w:rFonts w:ascii="华文行楷" w:eastAsia="华文行楷"/>
          <w:color w:val="FF0000"/>
          <w:spacing w:val="-28"/>
          <w:sz w:val="72"/>
          <w:szCs w:val="72"/>
        </w:rPr>
      </w:pPr>
      <w:r>
        <w:rPr>
          <w:rFonts w:hint="eastAsia" w:ascii="华文行楷" w:eastAsia="华文行楷"/>
          <w:color w:val="FF0000"/>
          <w:spacing w:val="-28"/>
          <w:sz w:val="72"/>
          <w:szCs w:val="72"/>
          <w:lang w:val="en-US" w:eastAsia="zh-CN"/>
        </w:rPr>
        <w:t>新平县财政局直达资金</w:t>
      </w:r>
      <w:r>
        <w:rPr>
          <w:rFonts w:hint="eastAsia" w:ascii="华文行楷" w:eastAsia="华文行楷"/>
          <w:color w:val="FF0000"/>
          <w:spacing w:val="-28"/>
          <w:sz w:val="72"/>
          <w:szCs w:val="72"/>
        </w:rPr>
        <w:t>简报</w:t>
      </w:r>
    </w:p>
    <w:p>
      <w:pPr>
        <w:jc w:val="center"/>
        <w:rPr>
          <w:rFonts w:ascii="方正仿宋_GBK" w:eastAsia="方正仿宋_GBK"/>
          <w:sz w:val="32"/>
          <w:szCs w:val="32"/>
        </w:rPr>
      </w:pPr>
    </w:p>
    <w:p>
      <w:pPr>
        <w:jc w:val="center"/>
        <w:rPr>
          <w:rFonts w:hint="eastAsia" w:ascii="宋体" w:eastAsia="宋体"/>
          <w:b/>
          <w:bCs/>
          <w:sz w:val="32"/>
          <w:szCs w:val="32"/>
        </w:rPr>
      </w:pPr>
      <w:r>
        <w:rPr>
          <w:rFonts w:hint="eastAsia" w:ascii="宋体" w:eastAsia="宋体"/>
          <w:b/>
          <w:bCs/>
          <w:sz w:val="32"/>
          <w:szCs w:val="32"/>
        </w:rPr>
        <w:t>第</w:t>
      </w:r>
      <w:r>
        <w:rPr>
          <w:rFonts w:hint="eastAsia" w:ascii="宋体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eastAsia" w:ascii="宋体" w:eastAsia="宋体"/>
          <w:b/>
          <w:bCs/>
          <w:sz w:val="32"/>
          <w:szCs w:val="32"/>
        </w:rPr>
        <w:t>期</w:t>
      </w:r>
    </w:p>
    <w:p>
      <w:pPr>
        <w:ind w:firstLine="316" w:firstLineChars="1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 xml:space="preserve">新平县财政局                     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eastAsia="方正楷体_GBK"/>
          <w:sz w:val="32"/>
          <w:szCs w:val="32"/>
        </w:rPr>
        <w:t xml:space="preserve">  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2022</w:t>
      </w:r>
      <w:r>
        <w:rPr>
          <w:rFonts w:hint="eastAsia" w:ascii="方正楷体_GBK" w:eastAsia="方正楷体_GBK"/>
          <w:sz w:val="32"/>
          <w:szCs w:val="32"/>
        </w:rPr>
        <w:t>年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10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7</w:t>
      </w:r>
      <w:r>
        <w:rPr>
          <w:rFonts w:hint="eastAsia" w:ascii="方正楷体_GBK" w:eastAsia="方正楷体_GBK"/>
          <w:sz w:val="32"/>
          <w:szCs w:val="32"/>
        </w:rPr>
        <w:t>日</w:t>
      </w:r>
    </w:p>
    <w:p>
      <w:pPr>
        <w:spacing w:line="520" w:lineRule="exact"/>
        <w:jc w:val="center"/>
        <w:rPr>
          <w:rFonts w:ascii="宋体" w:eastAsia="宋体"/>
          <w:sz w:val="32"/>
          <w:szCs w:val="32"/>
        </w:rPr>
      </w:pPr>
      <w:r>
        <w:rPr>
          <w:rFonts w:hint="eastAsia" w:ascii="方正楷体_GBK" w:eastAsia="方正楷体_GB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13335</wp:posOffset>
            </wp:positionV>
            <wp:extent cx="5428615" cy="28575"/>
            <wp:effectExtent l="0" t="0" r="0" b="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8615" cy="285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>
      <w:pPr>
        <w:spacing w:line="520" w:lineRule="exact"/>
        <w:jc w:val="center"/>
        <w:rPr>
          <w:rFonts w:hint="eastAsia" w:ascii="宋体" w:eastAsia="宋体"/>
          <w:sz w:val="32"/>
          <w:szCs w:val="32"/>
        </w:rPr>
      </w:pPr>
    </w:p>
    <w:p>
      <w:pPr>
        <w:spacing w:line="59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新平县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直达资金使用情况</w:t>
      </w:r>
    </w:p>
    <w:p>
      <w:pPr>
        <w:spacing w:line="590" w:lineRule="exact"/>
        <w:ind w:firstLine="632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宋体"/>
          <w:bCs/>
          <w:color w:val="333333"/>
          <w:kern w:val="36"/>
          <w:sz w:val="32"/>
          <w:szCs w:val="32"/>
          <w:lang w:val="en-US" w:eastAsia="zh-CN"/>
        </w:rPr>
        <w:t>新平县财政局根据直达资金管理办法及相关要求，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及时将直达资金分配及支付情况导入监督平台，建立和完善工作台账，全面反映资金分配、拨付使用、受益企业及个人情况，确保直达资金落地见效。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一、2023年度直达资金使用情况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截至2023年9月，新平县收到2023年直达资金61053.51万元，财政部门共计下达57262.26万元，下达率93.8%，未下达3791.24万元，主要是农村危房改造补助资金854.6万元、自然灾害救助资金20万元，因单位分配方案未确定未下达；普惠金融发展专项资金5.77万元，因项目单位项目入库缓慢未下达；学生资助补助经费8.17万元，在一体化系统中指标未下达；城乡义务教育补助经费2902.43万元，其中：2859.99万元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尚未收到资金下达文件，暂未分配下达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、42.44万元为中央多下达资金，待上级清算收回；林业改革发展资金0.27万元，因公益林补偿面积减少，剩余为留存县级资金。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项目单位实际支出41654.11万元，主要是一般性转移支付用于三保支出19382万元、农林水支出10504万元、社会保障和就业支出7040.83万元、卫生健康支出1823.8万元、交通运输支出1453万元、教育支出1235.48万元等，支出进度73.4%，慢序时进度1.6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截至2023年9月，未收到参照直达资金。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二、历年直达资金使用情况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2022年底共结转下年继续使用的直达资金13287.75万元，1-9月份已支付6848.23万元，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余额6439.52元。结转参照直达资金849.2万元，1-9月份已支付11.34万元，余额837.86万元。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方正仿宋_GBK" w:eastAsia="方正仿宋_GBK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</w:rPr>
        <w:t>抄送：</w:t>
      </w:r>
      <w:r>
        <w:rPr>
          <w:rFonts w:hint="eastAsia" w:ascii="方正仿宋_GBK" w:eastAsia="方正仿宋_GBK"/>
          <w:sz w:val="28"/>
          <w:szCs w:val="28"/>
        </w:rPr>
        <w:t>县委办、人大办、政府办、政协办、纪委办。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28" w:firstLineChars="300"/>
        <w:textAlignment w:val="auto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县委督查室、政府督查室，人大财经委、政协经济委。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962" w:leftChars="400" w:hanging="138" w:hangingChars="50"/>
        <w:textAlignment w:val="auto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发展和改革局、工业商贸和科技信息局、统计局、审计局。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962" w:leftChars="400" w:hanging="138" w:hangingChars="50"/>
        <w:textAlignment w:val="auto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  <w:lang w:eastAsia="zh-CN"/>
        </w:rPr>
        <w:t>人民银行新平县支行，</w:t>
      </w:r>
      <w:r>
        <w:rPr>
          <w:rFonts w:hint="eastAsia" w:ascii="方正仿宋_GBK" w:eastAsia="方正仿宋_GBK"/>
          <w:sz w:val="28"/>
          <w:szCs w:val="28"/>
        </w:rPr>
        <w:t>各乡镇人民政府、街道办事处。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962" w:leftChars="400" w:hanging="138" w:hangingChars="50"/>
        <w:textAlignment w:val="auto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各乡镇（街道）财政所。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28" w:firstLineChars="300"/>
        <w:textAlignment w:val="auto"/>
        <w:rPr>
          <w:rFonts w:hint="eastAsia" w:ascii="宋体" w:hAnsi="宋体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县非税收入管理局，本局各股（室）、中心。 </w:t>
      </w:r>
      <w:r>
        <w:rPr>
          <w:rFonts w:ascii="方正仿宋_GBK" w:eastAsia="方正仿宋_GBK"/>
          <w:sz w:val="28"/>
          <w:szCs w:val="28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pBdr>
          <w:top w:val="single" w:color="auto" w:sz="8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76" w:firstLineChars="100"/>
        <w:textAlignment w:val="auto"/>
      </w:pPr>
      <w:r>
        <w:rPr>
          <w:rFonts w:hint="eastAsia" w:ascii="方正仿宋_GBK" w:eastAsia="方正仿宋_GBK"/>
          <w:sz w:val="28"/>
          <w:szCs w:val="28"/>
        </w:rPr>
        <w:t>新平县彝族傣族自治县财政局办公室</w:t>
      </w:r>
      <w:r>
        <w:rPr>
          <w:rFonts w:hint="eastAsia" w:ascii="宋体" w:hAnsi="宋体" w:eastAsia="方正仿宋_GBK"/>
          <w:sz w:val="28"/>
          <w:szCs w:val="28"/>
        </w:rPr>
        <w:t xml:space="preserve">     </w:t>
      </w:r>
      <w:r>
        <w:rPr>
          <w:rFonts w:hint="eastAsia" w:ascii="宋体" w:hAnsi="宋体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方正仿宋_GBK"/>
          <w:sz w:val="28"/>
          <w:szCs w:val="28"/>
        </w:rPr>
        <w:t xml:space="preserve">  </w:t>
      </w:r>
      <w:r>
        <w:rPr>
          <w:rFonts w:hint="eastAsia" w:ascii="宋体" w:hAnsi="宋体" w:eastAsia="方正仿宋_GBK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28"/>
          <w:szCs w:val="28"/>
        </w:rPr>
        <w:t>20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23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eastAsia" w:ascii="方正仿宋_GBK" w:eastAsia="方正仿宋_GBK"/>
          <w:sz w:val="28"/>
          <w:szCs w:val="28"/>
        </w:rPr>
        <w:t xml:space="preserve">日印发  </w:t>
      </w:r>
    </w:p>
    <w:sectPr>
      <w:footerReference r:id="rId3" w:type="default"/>
      <w:footerReference r:id="rId4" w:type="even"/>
      <w:pgSz w:w="11906" w:h="16838"/>
      <w:pgMar w:top="2041" w:right="1474" w:bottom="1304" w:left="1588" w:header="1361" w:footer="907" w:gutter="0"/>
      <w:cols w:space="720" w:num="1"/>
      <w:docGrid w:type="linesAndChars" w:linePitch="600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7420" w:firstLineChars="2650"/>
      <w:rPr>
        <w:rFonts w:ascii="宋体" w:eastAsia="宋体"/>
        <w:sz w:val="28"/>
        <w:szCs w:val="28"/>
      </w:rPr>
    </w:pPr>
    <w:r>
      <w:rPr>
        <w:rFonts w:ascii="宋体" w:eastAsia="宋体"/>
        <w:sz w:val="28"/>
        <w:szCs w:val="28"/>
      </w:rPr>
      <w:t xml:space="preserve">— </w:t>
    </w:r>
    <w:sdt>
      <w:sdtPr>
        <w:rPr>
          <w:rFonts w:ascii="宋体" w:eastAsia="宋体"/>
          <w:sz w:val="28"/>
          <w:szCs w:val="28"/>
        </w:rPr>
        <w:id w:val="-127155582"/>
        <w:docPartList>
          <w:docPartGallery w:val="autotext"/>
        </w:docPartList>
      </w:sdtPr>
      <w:sdtEndPr>
        <w:rPr>
          <w:rFonts w:ascii="宋体" w:eastAsia="宋体"/>
          <w:sz w:val="28"/>
          <w:szCs w:val="28"/>
        </w:rPr>
      </w:sdtEndPr>
      <w:sdtContent>
        <w:r>
          <w:rPr>
            <w:rFonts w:ascii="宋体" w:eastAsia="宋体"/>
            <w:sz w:val="28"/>
            <w:szCs w:val="28"/>
          </w:rPr>
          <w:fldChar w:fldCharType="begin"/>
        </w:r>
        <w:r>
          <w:rPr>
            <w:rFonts w:asci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eastAsia="宋体"/>
            <w:sz w:val="28"/>
            <w:szCs w:val="28"/>
          </w:rPr>
          <w:fldChar w:fldCharType="separate"/>
        </w:r>
        <w:r>
          <w:rPr>
            <w:rFonts w:ascii="宋体" w:eastAsia="宋体"/>
            <w:sz w:val="28"/>
            <w:szCs w:val="28"/>
          </w:rPr>
          <w:t>1</w:t>
        </w:r>
        <w:r>
          <w:rPr>
            <w:rFonts w:ascii="宋体" w:eastAsia="宋体"/>
            <w:sz w:val="28"/>
            <w:szCs w:val="28"/>
          </w:rPr>
          <w:fldChar w:fldCharType="end"/>
        </w:r>
        <w:r>
          <w:rPr>
            <w:rFonts w:ascii="宋体" w:eastAsia="宋体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numPr>
        <w:ilvl w:val="0"/>
        <w:numId w:val="1"/>
      </w:numPr>
      <w:rPr>
        <w:rFonts w:ascii="宋体" w:eastAsia="宋体"/>
        <w:sz w:val="28"/>
        <w:szCs w:val="28"/>
      </w:rPr>
    </w:pPr>
    <w:r>
      <w:t xml:space="preserve"> </w:t>
    </w:r>
    <w:sdt>
      <w:sdtPr>
        <w:id w:val="1034495885"/>
        <w:docPartList>
          <w:docPartGallery w:val="autotext"/>
        </w:docPartList>
      </w:sdtPr>
      <w:sdtEndPr>
        <w:rPr>
          <w:rFonts w:ascii="宋体" w:eastAsia="宋体"/>
          <w:sz w:val="28"/>
          <w:szCs w:val="28"/>
        </w:rPr>
      </w:sdtEndPr>
      <w:sdtContent>
        <w:r>
          <w:rPr>
            <w:rFonts w:ascii="宋体" w:eastAsia="宋体"/>
            <w:sz w:val="28"/>
            <w:szCs w:val="28"/>
          </w:rPr>
          <w:fldChar w:fldCharType="begin"/>
        </w:r>
        <w:r>
          <w:rPr>
            <w:rFonts w:asci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eastAsia="宋体"/>
            <w:sz w:val="28"/>
            <w:szCs w:val="28"/>
          </w:rPr>
          <w:fldChar w:fldCharType="separate"/>
        </w:r>
        <w:r>
          <w:rPr>
            <w:rFonts w:ascii="宋体" w:eastAsia="宋体"/>
            <w:sz w:val="28"/>
            <w:szCs w:val="28"/>
            <w:lang w:val="zh-CN"/>
          </w:rPr>
          <w:t>2</w:t>
        </w:r>
        <w:r>
          <w:rPr>
            <w:rFonts w:ascii="宋体" w:eastAsia="宋体"/>
            <w:sz w:val="28"/>
            <w:szCs w:val="28"/>
          </w:rPr>
          <w:fldChar w:fldCharType="end"/>
        </w:r>
        <w:r>
          <w:rPr>
            <w:rFonts w:ascii="宋体" w:eastAsia="宋体"/>
            <w:sz w:val="28"/>
            <w:szCs w:val="28"/>
          </w:rPr>
          <w:t xml:space="preserve"> </w:t>
        </w:r>
        <w:r>
          <w:rPr>
            <w:rFonts w:hint="eastAsia" w:ascii="宋体" w:eastAsia="宋体"/>
            <w:sz w:val="28"/>
            <w:szCs w:val="28"/>
          </w:rPr>
          <w:t>—</w:t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34EED"/>
    <w:multiLevelType w:val="multilevel"/>
    <w:tmpl w:val="28434EED"/>
    <w:lvl w:ilvl="0" w:tentative="0">
      <w:start w:val="1"/>
      <w:numFmt w:val="bullet"/>
      <w:lvlText w:val="—"/>
      <w:legacy w:legacy="1" w:legacySpace="0" w:legacyIndent="360"/>
      <w:lvlJc w:val="left"/>
      <w:pPr>
        <w:ind w:left="720" w:hanging="360"/>
      </w:pPr>
      <w:rPr>
        <w:rFonts w:hint="eastAsia" w:ascii="宋体" w:hAnsi="宋体" w:eastAsia="宋体" w:cs="Arial"/>
      </w:rPr>
    </w:lvl>
    <w:lvl w:ilvl="1" w:tentative="0">
      <w:start w:val="1"/>
      <w:numFmt w:val="bullet"/>
      <w:lvlText w:val=""/>
      <w:legacy w:legacy="1" w:legacySpace="0" w:legacyIndent="420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egacy w:legacy="1" w:legacySpace="0" w:legacyIndent="420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egacy w:legacy="1" w:legacySpace="0" w:legacyIndent="420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egacy w:legacy="1" w:legacySpace="0" w:legacyIndent="420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egacy w:legacy="1" w:legacySpace="0" w:legacyIndent="420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egacy w:legacy="1" w:legacySpace="0" w:legacyIndent="420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egacy w:legacy="1" w:legacySpace="0" w:legacyIndent="420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egacy w:legacy="1" w:legacySpace="0" w:legacyIndent="420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dit="readOnly" w:enforcement="0"/>
  <w:defaultTabStop w:val="420"/>
  <w:drawingGridHorizontalSpacing w:val="102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375574"/>
    <w:rsid w:val="01E05863"/>
    <w:rsid w:val="0B7B21F3"/>
    <w:rsid w:val="0CAC7B10"/>
    <w:rsid w:val="0DD6230B"/>
    <w:rsid w:val="0FDF6B11"/>
    <w:rsid w:val="1AA875CA"/>
    <w:rsid w:val="1C1A02C7"/>
    <w:rsid w:val="1DAD3ED6"/>
    <w:rsid w:val="222176FC"/>
    <w:rsid w:val="22450A1F"/>
    <w:rsid w:val="250815A7"/>
    <w:rsid w:val="253554AD"/>
    <w:rsid w:val="26210CBC"/>
    <w:rsid w:val="27F9389A"/>
    <w:rsid w:val="2A496FDC"/>
    <w:rsid w:val="2E217467"/>
    <w:rsid w:val="33DF4C6E"/>
    <w:rsid w:val="348D2E02"/>
    <w:rsid w:val="379C68A5"/>
    <w:rsid w:val="3D774652"/>
    <w:rsid w:val="42B979CD"/>
    <w:rsid w:val="438C2F0C"/>
    <w:rsid w:val="4C8E13A9"/>
    <w:rsid w:val="4CED588E"/>
    <w:rsid w:val="4D44427A"/>
    <w:rsid w:val="4DD2036D"/>
    <w:rsid w:val="4FA31562"/>
    <w:rsid w:val="51B829FF"/>
    <w:rsid w:val="54E56190"/>
    <w:rsid w:val="56983A20"/>
    <w:rsid w:val="57587DF5"/>
    <w:rsid w:val="5AC6391A"/>
    <w:rsid w:val="5D93427D"/>
    <w:rsid w:val="5F8B7271"/>
    <w:rsid w:val="600963EC"/>
    <w:rsid w:val="63202116"/>
    <w:rsid w:val="66800A39"/>
    <w:rsid w:val="68AE0EF5"/>
    <w:rsid w:val="6B4F25BD"/>
    <w:rsid w:val="6B6A55E0"/>
    <w:rsid w:val="6C022C77"/>
    <w:rsid w:val="77D37B7D"/>
    <w:rsid w:val="789368DF"/>
    <w:rsid w:val="796D0DB3"/>
    <w:rsid w:val="7B747F5E"/>
    <w:rsid w:val="7D0929FD"/>
    <w:rsid w:val="7D65676E"/>
    <w:rsid w:val="7E5D6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before="100" w:beforeAutospacing="1" w:after="100" w:afterAutospacing="1"/>
      <w:ind w:left="200" w:hanging="200" w:hangingChars="200"/>
    </w:pPr>
    <w:rPr>
      <w:rFonts w:ascii="宋体" w:eastAsia="宋体" w:cs="宋体"/>
      <w:sz w:val="28"/>
      <w:szCs w:val="28"/>
    </w:rPr>
  </w:style>
  <w:style w:type="paragraph" w:styleId="6">
    <w:name w:val="toc 5"/>
    <w:basedOn w:val="1"/>
    <w:next w:val="1"/>
    <w:qFormat/>
    <w:uiPriority w:val="0"/>
    <w:pPr>
      <w:ind w:left="1680"/>
    </w:pPr>
  </w:style>
  <w:style w:type="paragraph" w:styleId="7">
    <w:name w:val="toc 3"/>
    <w:basedOn w:val="1"/>
    <w:next w:val="1"/>
    <w:qFormat/>
    <w:uiPriority w:val="0"/>
    <w:pPr>
      <w:ind w:left="84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4"/>
    <w:basedOn w:val="1"/>
    <w:next w:val="1"/>
    <w:qFormat/>
    <w:uiPriority w:val="0"/>
    <w:pPr>
      <w:ind w:left="1260"/>
    </w:pPr>
  </w:style>
  <w:style w:type="paragraph" w:styleId="12">
    <w:name w:val="toc 2"/>
    <w:basedOn w:val="1"/>
    <w:next w:val="1"/>
    <w:qFormat/>
    <w:uiPriority w:val="0"/>
    <w:pPr>
      <w:ind w:left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玉溪市新平县党政机关单位</Company>
  <Pages>2</Pages>
  <Words>569</Words>
  <Characters>669</Characters>
  <Lines>43</Lines>
  <Paragraphs>17</Paragraphs>
  <TotalTime>4</TotalTime>
  <ScaleCrop>false</ScaleCrop>
  <LinksUpToDate>false</LinksUpToDate>
  <CharactersWithSpaces>731</CharactersWithSpaces>
  <Application>WPS Office_11.8.6.8722_F1E327BC-269C-435d-A152-05C5408002CA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2022-02-21T01:02:00Z</dcterms:created>
  <dc:creator>段艳琼</dc:creator>
  <cp:lastModifiedBy>新平财政局</cp:lastModifiedBy>
  <dcterms:modified xsi:type="dcterms:W3CDTF">2023-10-08T07:27:32Z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624A031E0FE242F5AC9068FEF9BC3154</vt:lpwstr>
  </property>
</Properties>
</file>