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仿宋_GB2312" w:eastAsia="仿宋_GB2312" w:cs="仿宋_GB2312"/>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临时建设工程规划许可（县级权限）</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【000115133006】</w:t>
      </w: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建设工程、临时建设工程规划许可【00011513300Y】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临时建设工程规划许可（县级权限）【000115133006】</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临时建设工程规划许可（县级权限）【000115133006】</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（4）《中华人民共和国土地管理法实施条例》第二条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（4）《中华人民共和国长江保护法》第二十条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（5）《中华人民共和国黄河保护法》第二十五条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（6）《中华人民共和国土地管理法实施条例》第二条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（7）《中共中央 国务院关于建立国土空间规划体系并监督实施的若干意见》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（3）《中华人民共和国城乡规划法》第五十三条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（4）《中华人民共和国城乡规划法》第六十六条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县级自然资源部门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无对应政务服务事项</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highlight w:val="none"/>
        </w:rPr>
        <w:t>全省要素统一</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四、行政许可服务对象类型与改革举措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证申请表；（2）建设项目批准、核准、备案文件；（3）使用土地的有关证明文件，地方结合实际确定，可以是不动产权属证书、建设用地规划许可证、国有建设用地划拨决定书、国有建设用地使用权出让合同或有关部门出具的使用土地证明文件等；（4）建设工程设计方案；（5）依照规定需要编制修建性详细规划的，应当提交修建性详细规划。</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（3）审批机构审查。涉及需进行现场勘验、专家评审、听证、委托服务机构开展技术性服务的，按有关规定组织实施；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建设工程规划许可证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1年</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《云南省城乡规划条例》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bookmarkStart w:id="0" w:name="_GoBack"/>
      <w:bookmarkEnd w:id="0"/>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十四、监管主体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pPr>
        <w:numPr>
          <w:ilvl w:val="0"/>
          <w:numId w:val="1"/>
        </w:num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备注</w:t>
      </w:r>
    </w:p>
    <w:p>
      <w:pPr>
        <w:spacing w:line="60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07C5C"/>
    <w:multiLevelType w:val="singleLevel"/>
    <w:tmpl w:val="DF707C5C"/>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TRkYWNhYzVjODIxMGJmMTgwYTMwM2I5NWE2YjIifQ=="/>
  </w:docVars>
  <w:rsids>
    <w:rsidRoot w:val="4A1947CF"/>
    <w:rsid w:val="00294D22"/>
    <w:rsid w:val="005A0606"/>
    <w:rsid w:val="00AA775D"/>
    <w:rsid w:val="0275615C"/>
    <w:rsid w:val="0C4F44A3"/>
    <w:rsid w:val="0F79A8CC"/>
    <w:rsid w:val="15BB6002"/>
    <w:rsid w:val="17072F96"/>
    <w:rsid w:val="19BB60BB"/>
    <w:rsid w:val="227015D4"/>
    <w:rsid w:val="24294A05"/>
    <w:rsid w:val="367173F3"/>
    <w:rsid w:val="4A1947CF"/>
    <w:rsid w:val="4A7557B5"/>
    <w:rsid w:val="4B7831AC"/>
    <w:rsid w:val="4C151806"/>
    <w:rsid w:val="54E054B5"/>
    <w:rsid w:val="697C2F72"/>
    <w:rsid w:val="79C8363A"/>
    <w:rsid w:val="7BEB1FFC"/>
    <w:rsid w:val="FFFFC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3711</Words>
  <Characters>3846</Characters>
  <Lines>28</Lines>
  <Paragraphs>7</Paragraphs>
  <TotalTime>9</TotalTime>
  <ScaleCrop>false</ScaleCrop>
  <LinksUpToDate>false</LinksUpToDate>
  <CharactersWithSpaces>3857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Administrator</cp:lastModifiedBy>
  <dcterms:modified xsi:type="dcterms:W3CDTF">2023-11-13T07:17:04Z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5E28F6DBF2CA4F8F805DAC1D11BC219A</vt:lpwstr>
  </property>
</Properties>
</file>