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建设工程规划许可（县级权限）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【000115133005】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建设工程、临时建设工程规划许可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00011513300Y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建设工程规划许可（县级权限）【000115133005】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（1）建设工程规划许可办理(00011513300501)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（2）建设工程规划许可变更(00011513300502)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（3）建设工程规划许可延期(00011513300503)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（4）建设工程规划许可注销(00011513300504)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（3）《中华人民共和国城乡规划法》第六十四条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highlight w:val="none"/>
          <w:lang w:val="en-US" w:eastAsia="zh-CN"/>
        </w:rPr>
        <w:t>全省要素统一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（3）审批机构审查。涉及需进行现场勘验、专家评审、听证、委托服务机构开展技术性服务的，按有关规定组织实施；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建设工程规划许可证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default" w:ascii="仿宋_GB2312" w:hAnsi="仿宋_GB2312" w:eastAsia="仿宋_GB2312" w:cs="仿宋_GB2312"/>
          <w:b/>
          <w:bCs/>
          <w:strike w:val="0"/>
          <w:dstrike w:val="0"/>
          <w:color w:val="auto"/>
          <w:sz w:val="32"/>
          <w:szCs w:val="32"/>
          <w:lang w:val="en" w:eastAsia="zh-CN"/>
        </w:rPr>
        <w:t>:</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1.地方自然资源主管部门自行制定完善规划核实、放线验线等管理规程。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支持地方在已有探索成果基础上，巩固深化用地审批与规划许可融合管理成果。深化“带方案出让”土地制度，合理确定适用项目类型，在取得土地使用权后，可直接核发建设工程规划许可证；对于符合条件的建设项目，可“一次申请、合并办理”建设用地规划许可证和建设工程规划许可证；推行告知承诺制，通过“事前承诺、事后监管”，进一步提升审批效率；可结合地方管理实际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1A75F09"/>
    <w:rsid w:val="22A43210"/>
    <w:rsid w:val="22A538B2"/>
    <w:rsid w:val="2A690FE4"/>
    <w:rsid w:val="35F8791E"/>
    <w:rsid w:val="45381F81"/>
    <w:rsid w:val="469D2B08"/>
    <w:rsid w:val="4A1947CF"/>
    <w:rsid w:val="5AE30C76"/>
    <w:rsid w:val="6B9E319B"/>
    <w:rsid w:val="76601F15"/>
    <w:rsid w:val="B7FFA415"/>
    <w:rsid w:val="EE47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Administrator</cp:lastModifiedBy>
  <dcterms:modified xsi:type="dcterms:W3CDTF">2023-11-13T03:44:12Z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4252A9368D3A402F953930B10B2DA4B3</vt:lpwstr>
  </property>
</Properties>
</file>