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三、实施机关：</w:t>
      </w:r>
    </w:p>
    <w:p>
      <w:pPr>
        <w:spacing w:line="540" w:lineRule="exact"/>
        <w:ind w:firstLine="560" w:firstLineChars="200"/>
        <w:outlineLvl w:val="1"/>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县人民政府（由县城市管理局承办）；县城市管理局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《城市道路管理条例》</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《云南省城市建设管理条例》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.占用、挖掘城市道路审批（县级权限）</w:t>
      </w:r>
    </w:p>
    <w:p>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.依附于城市道路建设各种管线、杆线等设施审批（县级权限）</w:t>
      </w:r>
    </w:p>
    <w:p>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.城市桥梁上架设各类市政管线审批（县级权限）</w:t>
      </w:r>
    </w:p>
    <w:p>
      <w:pPr>
        <w:spacing w:line="540" w:lineRule="exact"/>
        <w:ind w:firstLine="560" w:firstLineChars="200"/>
        <w:rPr>
          <w:rFonts w:hint="eastAsia" w:ascii="Times New Roman" w:hAnsi="Times New Roman" w:eastAsia="仿宋GB2312"/>
          <w:color w:val="auto"/>
          <w:sz w:val="28"/>
          <w:szCs w:val="28"/>
        </w:rPr>
      </w:pPr>
    </w:p>
    <w:p>
      <w:pPr>
        <w:spacing w:line="540" w:lineRule="exact"/>
        <w:ind w:firstLine="560" w:firstLineChars="200"/>
        <w:rPr>
          <w:rFonts w:hint="eastAsia" w:ascii="Times New Roman" w:hAnsi="Times New Roman" w:eastAsia="仿宋GB2312"/>
          <w:color w:val="auto"/>
          <w:sz w:val="28"/>
          <w:szCs w:val="28"/>
        </w:rPr>
      </w:pPr>
    </w:p>
    <w:p>
      <w:pPr>
        <w:spacing w:line="540" w:lineRule="exact"/>
        <w:ind w:firstLine="560" w:firstLineChars="200"/>
        <w:rPr>
          <w:rFonts w:hint="eastAsia" w:ascii="Times New Roman" w:hAnsi="Times New Roman" w:eastAsia="仿宋GB2312"/>
          <w:color w:val="auto"/>
          <w:sz w:val="28"/>
          <w:szCs w:val="28"/>
        </w:rPr>
      </w:pPr>
    </w:p>
    <w:p>
      <w:pPr>
        <w:spacing w:line="540" w:lineRule="exact"/>
        <w:ind w:firstLine="560" w:firstLineChars="200"/>
        <w:rPr>
          <w:rFonts w:hint="eastAsia" w:ascii="Times New Roman" w:hAnsi="Times New Roman" w:eastAsia="仿宋GB2312"/>
          <w:color w:val="auto"/>
          <w:sz w:val="28"/>
          <w:szCs w:val="28"/>
        </w:rPr>
      </w:pPr>
    </w:p>
    <w:p>
      <w:pPr>
        <w:spacing w:line="540" w:lineRule="exact"/>
        <w:ind w:firstLine="560" w:firstLineChars="200"/>
        <w:rPr>
          <w:rFonts w:hint="eastAsia" w:ascii="Times New Roman" w:hAnsi="Times New Roman" w:eastAsia="仿宋GB2312"/>
          <w:color w:val="auto"/>
          <w:sz w:val="28"/>
          <w:szCs w:val="28"/>
        </w:rPr>
      </w:pPr>
    </w:p>
    <w:p>
      <w:pPr>
        <w:spacing w:line="540" w:lineRule="exact"/>
        <w:ind w:firstLine="560" w:firstLineChars="200"/>
        <w:rPr>
          <w:rFonts w:hint="eastAsia" w:ascii="Times New Roman" w:hAnsi="Times New Roman" w:eastAsia="仿宋GB2312"/>
          <w:color w:val="auto"/>
          <w:sz w:val="28"/>
          <w:szCs w:val="28"/>
        </w:rPr>
      </w:pPr>
    </w:p>
    <w:p>
      <w:pPr>
        <w:spacing w:line="540" w:lineRule="exact"/>
        <w:ind w:firstLine="560" w:firstLineChars="200"/>
        <w:rPr>
          <w:rFonts w:hint="eastAsia" w:ascii="Times New Roman" w:hAnsi="Times New Roman" w:eastAsia="仿宋GB2312"/>
          <w:color w:val="auto"/>
          <w:sz w:val="28"/>
          <w:szCs w:val="28"/>
        </w:rPr>
      </w:pPr>
    </w:p>
    <w:p>
      <w:pPr>
        <w:spacing w:line="540" w:lineRule="exact"/>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占用、挖掘城市道路审批（县级权限）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【000117129007】</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市政设施建设类审批【00011712900Y】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占用、挖掘城市道路审批（县级权限）【000117129007】</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1.占用、挖掘城市道路审批（县级权限）首次申请(00011712900701)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2.占用、挖掘城市道路审批（县级权限）变更申请(00011712900702)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rPr>
        <w:t>县人民政府（由县城市管理局承办）；县城市管理局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市政设施建设类审批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（1）《城市道路管理条例》第三十一条、第三十三条、第三十五条、第三十七条。第三十一条　因特殊情况需要临时占用城市道路的，须经市政工程行政主管部门和公安交通管理部门批准，方可按照规定占用。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经批准挖掘城市道路的，应当在施工现场设置明显标志和安全防围设施；竣工后，应当及时清理现场，通知市政工程行政主管部门检查验收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占用或者挖掘由市政工程行政主管部门管理的城市道路的，应当向市政工程行政主管部门交纳城市道路占用费或者城市道路挖掘修复费。</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1.完善常态化监管机制，加强日常巡查和督导。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2.加大对审批事项的开挖、回填、修复跟踪力度和检查频次，严格规范挖掘作业，保证修复质量。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严格履行主体责任，依法依规监管。对未经报批擅自占用挖掘市政道路、施工过程中未按规范保护市政道路等违法违规行为进行严肃查处，“以案促改”，有效强化施工企业的法律意识、规矩意识。对隐瞒有关情况或者提供虚假材料申请许可的，予以严肃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加强汛期等特殊时期监督。对涉及内涝点和安全隐患点的审批事项现场跟踪监督，加强形势研判。因雨情影响暂停施工的项目，要求建设单位做好安全防护措施，防止施工现场形成新的积水隐患点，最大限度降低汛期等特殊时期市政道路占用挖掘事项对市民生活和车辆出行的影响。</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占用、挖掘城市道路许可申请书。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城市规划部门批准签发的文件或有关设计文件（需挖掘城市道路）。</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新建、扩建、改建的城市道路交付使用后5年内、大修的城市道路竣工后3年内的，需提供城市人民政府批准同意挖掘的证明材料。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（1）城市道路管理条例第三十一条、第三十三条第三十一条　因特殊情况需要临时占用城市道路的，须经市政工程行政主管部门和公安交通管理部门批准，方可按照规定占用。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占用、挖掘城市道路许可决定书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依附于城市道路建设各种管线、杆线等设施审批（县级权限）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【000117129008】</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市政设施建设类审批【00011712900Y】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依附于城市道路建设各种管线、杆线等设施审批（县级权限）【000117129008】</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1.依附于城市道路建设各种管线、杆线等设施审批（县级权限）首次申请(00011712900801)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2.依附于城市道路建设各种管线、杆线等设施审批（县级权限）变更申请(00011712900802)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（1）《城市道路管理条例》第二十九条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rPr>
        <w:t>县人民政府（由县城市管理局承办）；县城市管理局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（1）《城市道路管理条例》第三十一条、第三十三条、第三十五条、第三十七条第三十一条　因特殊情况需要临时占用城市道路的，须经市政工程行政主管部门和公安交通管理部门批准，方可按照规定占用。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经批准挖掘城市道路的，应当在施工现场设置明显标志和安全防围设施；竣工后，应当及时清理现场，通知市政工程行政主管部门检查验收。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占用或者挖掘由市政工程行政主管部门管理的城市道路的，应当向市政工程行政主管部门交纳城市道路占用费或者城市道路挖掘修复费。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1.完善常态化监管机制，制定监督检查方案。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2.按照权责匹配、权责一致的原则，推进监管信息共享。加强相关部门的沟通协作，建立健全行政审批、行业主管与后续监管协调一致的监管机制。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3.加强日常巡查督导，依据监督检查结果，对违法行为依法处置，并按照法定程序和要求公布监管信息。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4.建立本行政区域内依附于城市管道、桥梁建设各种管线、杆线等设施的单位（个人）监管档案。对失信企业（个人）加大监督检查频次，实施重点监管。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个人和组织发现无合法手续依附于城市管道、桥梁建设各种管线、杆线等设施或依附于城市管道、桥梁的各种管线、杆线等设施危害公共财产和人身安全时，有权向相关主管部门举报，主管部门依法处理，涉嫌危害公共财产、人身安全的，按照有关规定及时将案件移送公安机关。</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城市道路建设管线许可申请书。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城市规划部门批准签发的文件或有关设计文件。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新建、扩建、改建的城市道路交付使用后5年内、大修的城市道路竣工后3年内的，需提供城市人民政府批准同意挖掘的证明材料。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（1）《城市道路管理条例》第三十一条、第三十三条第三十一条　因特殊情况需要临时占用城市道路的，须经市政工程行政主管部门和公安交通管理部门批准，方可按照规定占用。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城市道路建设管线许可决定书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rPr>
          <w:rFonts w:hint="eastAsia" w:ascii="方正仿宋_GBK" w:hAnsi="方正仿宋_GBK" w:eastAsia="方正仿宋_GBK" w:cs="方正仿宋_GBK"/>
          <w:sz w:val="28"/>
          <w:szCs w:val="28"/>
        </w:rPr>
      </w:pPr>
    </w:p>
    <w:p>
      <w:pPr>
        <w:spacing w:line="600" w:lineRule="exact"/>
        <w:rPr>
          <w:rFonts w:hint="eastAsia" w:ascii="方正仿宋_GBK" w:hAnsi="方正仿宋_GBK" w:eastAsia="方正仿宋_GBK" w:cs="方正仿宋_GBK"/>
          <w:sz w:val="28"/>
          <w:szCs w:val="28"/>
        </w:rPr>
      </w:pPr>
    </w:p>
    <w:p>
      <w:pPr>
        <w:spacing w:line="600" w:lineRule="exact"/>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城市桥梁上架设各类市政管线审批（县级权限）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【000117129009】</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市政设施建设类审批【00011712900Y】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城市桥梁上架设各类市政管线审批（县级权限）【000117129009】</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1.城市桥梁上架设各类市政管线审批（县级权限）首次申请(00011712900901)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2.城市桥梁上架设各类市政管线审批（县级权限）变更申请(00011712900902)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（1）《国务院对确需保留的行政审批项目设定行政许可的决定》附件第109项</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rPr>
        <w:t>县人民政府（由县城市管理局承办）；县城市管理局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征得城市市政工程设施主管部门同意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提供对桥梁影响的安全评估报告或受影响设施的原设计单位的安全技术意见书，定期检修方案，以及配合桥梁、隧道管理部门做好日常检测、养护作业的承诺书。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（1）《城市道路管理条例》第二十九条、第三十条第二十九条　依附于城市道路建设各种管线、杆线等设施的，应当经市政工程行政主管部门批准，方可建设。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　未经市政工程行政主管部门和公安交通管理部门批准，任何单位或者个人不得占用或者挖掘城市道路。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1.完善常态化监管机制，制定监督检查方案。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2.按照权责匹配、权责一致的原则，推进监管信息共享。加强相关部门的沟通协作，建立健全行政审批、行业主管与后续监管协调一致的监管机制。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3.加强日常巡查督导，依据监督检查结果，对违法行为依法处置，并按照法定程序和要求公布监管信息。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4.建立本行政区域内依附于城市管道、桥梁建设各种管线、杆线等设施的单位（个人）监管档案。对失信企业（个人）加大监督检查频次，实施重点监管。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个人和组织发现无合法手续依附于城市管道、桥梁建设各种管线、杆线等设施或依附于城市管道、桥梁的各种管线、杆线等设施危害公共财产和人身安全时，有权向相关主管部门举报，主管部门依法处理，涉嫌危害公共财产、人身安全的，按照有关规定及时将案件移送公安机关。</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城市桥梁上架设管线许可申请书。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城市规划部门批准签发的文件和有关设计文件。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提供对桥梁影响的安全评估报告或受影响设施的原设计单位的安全技术意见书，定期检修方案，以及配合桥梁、隧道管理部门做好日常检测、养护作业的承诺书。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（1）《城市道路管理条例》第二十九条、第三十条第二十九条　依附于城市道路建设各种管线、杆线等设施的，应当经市政工程行政主管部门批准，方可建设。</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第三十条　未经市政工程行政主管部门和公安交通管理部门批准，任何单位或者个人不得占用或者挖掘城市道路。</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城市桥梁上架设管线许可决定书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bookmarkStart w:id="0" w:name="_GoBack"/>
      <w:bookmarkEnd w:id="0"/>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92C5E"/>
    <w:rsid w:val="2B793E5C"/>
    <w:rsid w:val="314F598A"/>
    <w:rsid w:val="345221C0"/>
    <w:rsid w:val="34D445DD"/>
    <w:rsid w:val="45292C5E"/>
    <w:rsid w:val="5E0D1329"/>
    <w:rsid w:val="62BD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2023-11-07T02:56:00Z</dcterms:created>
  <dc:creator>DELL</dc:creator>
  <cp:lastModifiedBy>Administrator</cp:lastModifiedBy>
  <dcterms:modified xsi:type="dcterms:W3CDTF">2023-12-11T03:40:50Z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