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40" w:lineRule="exact"/>
        <w:jc w:val="center"/>
        <w:outlineLvl w:val="0"/>
        <w:rPr>
          <w:rFonts w:hint="eastAsia" w:ascii="方正小标宋_GBK" w:hAnsi="方正小标宋_GBK" w:eastAsia="方正小标宋_GBK" w:cs="方正小标宋_GBK"/>
          <w:sz w:val="40"/>
          <w:szCs w:val="40"/>
        </w:rPr>
      </w:pPr>
    </w:p>
    <w:p>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pPr>
        <w:spacing w:after="156" w:afterLines="50" w:line="540" w:lineRule="exact"/>
        <w:jc w:val="center"/>
        <w:outlineLvl w:val="0"/>
        <w:rPr>
          <w:rFonts w:hint="eastAsia" w:ascii="宋体" w:hAnsi="宋体" w:cs="宋体"/>
          <w:color w:val="FF0000"/>
          <w:sz w:val="28"/>
          <w:szCs w:val="28"/>
        </w:rPr>
      </w:pP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pPr>
        <w:spacing w:line="540" w:lineRule="exact"/>
        <w:ind w:firstLine="560" w:firstLineChars="20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pPr>
        <w:spacing w:line="540" w:lineRule="exact"/>
        <w:ind w:firstLine="560" w:firstLineChars="200"/>
        <w:outlineLvl w:val="1"/>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pPr>
        <w:spacing w:line="540" w:lineRule="exact"/>
        <w:ind w:firstLine="560" w:firstLineChars="200"/>
        <w:outlineLvl w:val="1"/>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四、设定和实施依据：</w:t>
      </w:r>
    </w:p>
    <w:p>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《国务院对确需保留的行政审批项目设定行政许可的决定》</w:t>
      </w:r>
    </w:p>
    <w:p>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ind w:firstLine="560" w:firstLineChars="200"/>
        <w:rPr>
          <w:rFonts w:hint="eastAsia" w:ascii="Times New Roman" w:hAnsi="Times New Roman" w:eastAsia="仿宋GB2312"/>
          <w:sz w:val="28"/>
          <w:szCs w:val="28"/>
        </w:rPr>
      </w:pPr>
    </w:p>
    <w:p>
      <w:pPr>
        <w:spacing w:line="540" w:lineRule="exact"/>
        <w:rPr>
          <w:rFonts w:hint="eastAsia" w:ascii="Times New Roman" w:hAnsi="Times New Roman" w:eastAsia="仿宋GB2312"/>
          <w:sz w:val="28"/>
          <w:szCs w:val="28"/>
        </w:rPr>
      </w:pPr>
    </w:p>
    <w:p>
      <w:pPr>
        <w:spacing w:line="600" w:lineRule="exact"/>
        <w:ind w:firstLine="0" w:firstLineChars="0"/>
        <w:rPr>
          <w:rFonts w:hint="eastAsia" w:ascii="方正仿宋_GBK" w:hAnsi="方正仿宋_GBK" w:eastAsia="方正仿宋_GBK" w:cs="方正仿宋_GBK"/>
          <w:sz w:val="28"/>
          <w:szCs w:val="28"/>
        </w:rPr>
      </w:pP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城市建筑垃圾处置核准（县级权限）</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【000117122003】</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城市建筑垃圾处置核准【00011712200Y】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城市建筑垃圾处置核准（县级权限）【000117122003】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1.城市建筑垃圾产生核准首次申请(00011712200301)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2.城市建筑垃圾产生核准有效期届满申请延续(00011712200302)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3.城市建筑垃圾产生核准申请变更产生种类及数量(00011712200303)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4.城市建筑垃圾产生核准申请变更产生周期(00011712200304)</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5.城市建筑垃圾产生核准申请变更运输单位及运输车辆(00011712200305)</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6.城市建筑垃圾产生核准申请变更处理设施(00011712200306)</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7.城市建筑垃圾运输核准首次申请(00011712200307)(审核通过)</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8.城市建筑垃圾运输核准有效期届满申请延续(00011712200308)</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9.城市建筑垃圾运输核准申请变更企业名称、法定代表人、注册地址、经营范围(00011712200309)</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10.城市建筑垃圾运输核准申请变更运输工具数量及标识号(00011712200310)</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11.城市建筑垃圾处置核准首次申请(00011712200311)</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12.城市建筑垃圾处置核准有效期届满申请延续(00011712200312)</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13.城市建筑垃圾处置核准申请变更经营主体、法定代表人、注册地址(00011712200313)</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14.城市建筑垃圾处置核准申请变更处理内容(00011712200314)</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（1）《国务院对确需保留的行政审批项目设定行政许可的决定》（国务院令第412号）附件第一百零一项</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（2）《城市建筑垃圾管理规定》（建设部令第139号）第七条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（1）《建设部关于纳入国务院决定的十五项行政许可的条件的规定》（建设部令第135号）</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（1）《国务院对确需保留的行政审批项目设定行政许可的决定》（国务院令第412号）附件第一百零一项</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（2）《城市建筑垃圾管理规定》（建设部令第139号）第七条、第二十五条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（3）《中华人民共和国固体废物污染环境防治法》第六十二条、第六十三条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新平县城市管理局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城市建筑垃圾处置核准</w:t>
      </w:r>
    </w:p>
    <w:p>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具有建筑垃圾产生种类、数量及周期，运输单位签订的合同，运输的时间、路线和处理地点名称，与处置单位签订了合同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具有合法的运输车辆（船舶），健全的运输车辆（船舶）运营、安全、质量、保养、行政管理制度并得到有效执行，运输车辆（船舶）具备全密闭运输机械装置或密闭苫盖装置、安装行驶及装卸记录仪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具有建筑垃圾处置设施的土地使用证明，有处置设施的场地平面图、进场路线图，有健全的环境卫生和安全管理制度并得到有效执行，具有建筑垃圾分类处理的方案和对废混凝土、金属、木材等回收利用的方案。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（2）《建设部关于纳入国务院决定的十五项行政许可的条件的规定》（建设部令第135号）建设单位、施工单位或者建筑垃圾运输单位申请城市建筑垃圾处置核准，需具备以下条件：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（3）具有建筑垃圾分类处置的方案和对废混凝土、金属、木材等回收利用的方案；</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（4）具有合法的道路运输经营许可证、车辆行驶证；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（5）具有健全的运输车辆运营、安全、质量、保养、行政管理制度并得到有效执行；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（6）运输车辆具备全密闭运输机械装置或密闭苫盖装置、安装行驶及装卸记录仪和相应的建筑垃圾分类运输设备。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住房和城乡建设部关于取消部分部门规章和规范性文件设定的证明事项的决定》（建法规〔2019〕6号）附件《取消部门规章设定的证明事项目录》明确申请人办理建筑垃圾处置核准时不再需提交道路运输经营许可证及消纳场具有相应的摊铺、碾压、除尘、照明等机械和设备以及排水、消防等设施的证明材料。</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城市建设垃圾处置核准</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城市建筑垃圾产生核准批复</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优化审批服务</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精简许可条件和审批材料，减轻企业办事负担；优化审批流程，压减审批时限，</w:t>
      </w:r>
      <w:r>
        <w:rPr>
          <w:rFonts w:hint="eastAsia" w:ascii="方正仿宋_GBK" w:hAnsi="方正仿宋_GBK" w:eastAsia="方正仿宋_GBK" w:cs="方正仿宋_GBK"/>
          <w:sz w:val="28"/>
          <w:szCs w:val="28"/>
        </w:rPr>
        <w:t>将承诺审批时限由20个自然日压减至5个自然日，</w:t>
      </w:r>
      <w:r>
        <w:rPr>
          <w:rFonts w:ascii="方正仿宋_GBK" w:hAnsi="方正仿宋_GBK" w:eastAsia="方正仿宋_GBK" w:cs="方正仿宋_GBK"/>
          <w:sz w:val="28"/>
          <w:szCs w:val="28"/>
        </w:rPr>
        <w:t>提高审批效率</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1.完善常态化监管机制，通过书面检查、实地检查、定期抽验、随机抽查等强化日常监管网、人工智能等手段精准预警风险隐患。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2.运用互联网和大数据技术，依托政务服务网上平台，实时动态监管，实现“制度+技术”的有效监管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3.加快推进社会信用体系建设，完善信用信息征集、存储、共享与应用等环节的管理制度，建立健全信用信息档案和交换共享机制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4.拓宽公众参与社会监督的渠道和方式，建立健全公众举报受理平台，鼓励通过互联网、举报电话、投诉信箱等反映行政相对人在产品和服务质量、违法经营等方面的问题</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书面申请</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建筑垃圾处置设施的土地使用证明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有处置设施的场地平面图、进场路线图，有健全的环境卫生和安全管理制度并得到有效执行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具有建筑垃圾分类处理的方案和对废混凝土、金属、木材等回收利用的方案</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（1）《建设部关于纳入国务院决定的十五项行政许可的条件的规定》（建设部令第135号）建设单位、施工单位或者建筑垃圾运输单位申请城市建筑垃圾处置核准，需具备以下条件：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（1）提交书面申请（包括建筑垃圾运输的时间、路线和处置地点名称、施工单位与运输单位签订的合同、建筑垃圾消纳场的土地用途证明）；</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（2）有消纳场的场地平面图、进场路线图、具有相应的摊铺、碾压、除尘、照明等机械和设备，有排水、消防等设施，有健全的环境卫生和安全管理制度并得到有效执行；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（3）具有建筑垃圾分类处置的方案和对废混凝土、金属、木材等回收利用的方案；</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（4）具有合法的道路运输经营许可证、车辆行驶证；</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（5）具有健全的运输车辆运营、安全、质量、保养、行政管理制度并得到有效执行；</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（6）运输车辆具备全密闭运输机械装置或密闭苫盖装置、安装行驶及装卸记录仪和相应的建筑垃圾分类运输设备。”</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中华人民共和国行政许可法</w:t>
      </w:r>
      <w:r>
        <w:rPr>
          <w:rFonts w:hint="eastAsia" w:ascii="方正仿宋_GBK" w:hAnsi="方正仿宋_GBK" w:eastAsia="方正仿宋_GBK" w:cs="方正仿宋_GBK"/>
          <w:sz w:val="28"/>
          <w:szCs w:val="28"/>
        </w:rPr>
        <w:t>》</w:t>
      </w:r>
      <w:r>
        <w:rPr>
          <w:rFonts w:ascii="方正仿宋_GBK" w:hAnsi="方正仿宋_GBK" w:eastAsia="方正仿宋_GBK" w:cs="方正仿宋_GBK"/>
          <w:sz w:val="28"/>
          <w:szCs w:val="28"/>
        </w:rPr>
        <w:t>第一节 申请与受理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二十九条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第三十条行政机关应当将法律、法规、规章规定的有关行政许可的事项、依据、条件、数量、程序、期限以及需要提交的全部材料的目录和申请书示范文本等在办公场所公示。</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申请人要求行政机关对公示内容予以说明、解释的，行政机关应当说明、解释，提供准确、可靠的信息。</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第三十一条申请人申请行政许可，应当如实向行政机关提交有关材料和反映真实情况，并对其申请材料实质内容的真实性负责。行政机关不得要求申请人提交与其申请的行政许可事项无关的技术资料和其他材料。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第三十二条行政机关对申请人提出的行政许可申请，应当根据下列情况分别作出处理：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三条行政机关应当建立和完善有关制度，推行电子政务，在行政机关的网站上公布行政许可事项，方便申请人采取数据电文等方式提出行政许可申请；应当与其他行政机关共享有关行政许可信息，提高办事效率。</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第二节 审查与决定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第三十四条行政机关应当对申请人提交的申请材料进行审查。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五条依法应当先经下级行政机关审查后报上级行政机关决定的行政许可，下级行政机关应当在法定期限内将初步审查意见和全部申请材料直接报送上级行政机关。上级行政机关不得要求申请人重复提供申请材料。</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第三十六条行政机关对行政许可申请进行审查时，发现行政许可事项直接关系他人重大利益的，应当告知该利害关系人。申请人、利害关系人有权进行陈述和申辩。行政机关应当听取申请人、利害关系人的意见。</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第三十七条行政机关对行政许可申请进行审查后，除当场作出行政许可决定的外，应当在法定期限内按照规定程序作出行政许可决定。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第三十八条申请人的申请符合法定条件、标准的，行政机关应当依法作出准予行政许可的书面决定。</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第三十九条行政机关作出准予行政许可的决定，需要颁发行政许可证件的，应当向申请人颁发加盖本行政机关印章的下列行政许可证件：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第四十条行政机关作出的准予行政许可决定，应当予以公开，公众有权查阅。</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第四十一条法律、行政法规设定的行政许可，其适用范围没有地域限制的，申请人取得的行政许可在全国范围内有效。</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当场办理</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20个自然日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城市建筑垃圾管理规定》(建设部令第139号)第七条城市人民政府市容环境卫生主管部门应当在接到申请后的20日内作出是否核准的决定。予以核准的，颁发核准文件；不予核准的，应当告知申请人，并说明理由。</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ascii="方正仿宋_GBK" w:hAnsi="方正仿宋_GBK" w:eastAsia="方正仿宋_GBK" w:cs="方正仿宋_GBK"/>
          <w:sz w:val="28"/>
          <w:szCs w:val="28"/>
        </w:rPr>
        <w:t>5个自然日</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城市建筑垃圾处理核准批复</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20个自然日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市建筑垃圾管理规定》（建设部令第139号）第七条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6.办理审批结果变更手续的要求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建筑垃圾产生种类及数量、产生周期、运输单位及运输车辆、处置设施发生变更</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是</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8.办理审批结果延续手续的要求</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该许可证有效期届满30日前提出延续申请</w:t>
      </w:r>
    </w:p>
    <w:p>
      <w:pPr>
        <w:spacing w:line="540" w:lineRule="exact"/>
        <w:ind w:firstLine="562" w:firstLineChars="200"/>
        <w:outlineLvl w:val="2"/>
        <w:rPr>
          <w:rFonts w:hint="eastAsia" w:ascii="方正仿宋_GBK" w:hAnsi="方正仿宋_GBK" w:eastAsia="仿宋GB2312" w:cs="方正仿宋_GBK"/>
          <w:sz w:val="28"/>
          <w:szCs w:val="28"/>
          <w:lang w:eastAsia="zh-CN"/>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本级审批权限范围</w:t>
      </w:r>
      <w:bookmarkStart w:id="0" w:name="_GoBack"/>
      <w:bookmarkEnd w:id="0"/>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（1）《中华人民共和国行政许可法》第十六条行政法规可以在法律设定的行政许可事项范围内，对实施该行政许可作出具体规定。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地方性法规可以在法律、行政法规设定的行政许可事项范围内，对实施该行政许可作出具体规定。</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规章可以在上位法设定的行政许可事项范围内，对实施该行政许可作出具体规定。</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法规、规章对实施上位法设定的行政许可作出的具体规定，不得增设行政许可；对行政许可条件作出的具体规定，不得增设违反上位法的其他条件。</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新平县城市管理局</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55EF"/>
    <w:rsid w:val="1DB97223"/>
    <w:rsid w:val="5F10362B"/>
    <w:rsid w:val="6B8D5C1C"/>
    <w:rsid w:val="755D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2023-12-07T09:42:00Z</dcterms:created>
  <dc:creator>Administrator</dc:creator>
  <cp:lastModifiedBy>Administrator</cp:lastModifiedBy>
  <dcterms:modified xsi:type="dcterms:W3CDTF">2023-12-11T03:28:10Z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