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rPr>
        <w:t>关于202</w:t>
      </w:r>
      <w:r>
        <w:rPr>
          <w:rFonts w:hint="default" w:ascii="Times New Roman" w:hAnsi="Times New Roman" w:eastAsia="方正小标宋_GBK" w:cs="Times New Roman"/>
          <w:sz w:val="44"/>
          <w:szCs w:val="44"/>
          <w:lang w:val="en-US" w:eastAsia="zh-CN"/>
        </w:rPr>
        <w:t>3</w:t>
      </w:r>
      <w:r>
        <w:rPr>
          <w:rFonts w:hint="default" w:ascii="Times New Roman" w:hAnsi="Times New Roman" w:eastAsia="方正小标宋_GBK" w:cs="Times New Roman"/>
          <w:sz w:val="44"/>
          <w:szCs w:val="44"/>
        </w:rPr>
        <w:t>年度转移支付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预算安排情况说明</w:t>
      </w:r>
    </w:p>
    <w:p>
      <w:pPr>
        <w:ind w:firstLine="640" w:firstLineChars="200"/>
        <w:rPr>
          <w:rFonts w:hint="default" w:ascii="Times New Roman" w:hAnsi="Times New Roman" w:eastAsia="方正楷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现将202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年度转移支付预算安排情况说明如下：</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sz w:val="32"/>
          <w:szCs w:val="32"/>
          <w:lang w:val="en-US" w:eastAsia="zh-CN"/>
        </w:rPr>
        <w:t>1.2023年新平县县本级财力安排的对下转移支付项目支出共计1,253.00万元。分别是：</w:t>
      </w:r>
      <w:r>
        <w:rPr>
          <w:rFonts w:hint="default" w:ascii="Times New Roman" w:hAnsi="Times New Roman" w:eastAsia="方正仿宋_GBK" w:cs="Times New Roman"/>
          <w:b/>
          <w:bCs/>
          <w:sz w:val="32"/>
          <w:szCs w:val="32"/>
          <w:lang w:val="en-US" w:eastAsia="zh-CN"/>
        </w:rPr>
        <w:t>一般公共服务支出337.00万元，</w:t>
      </w:r>
      <w:r>
        <w:rPr>
          <w:rFonts w:hint="default" w:ascii="Times New Roman" w:hAnsi="Times New Roman" w:eastAsia="方正仿宋_GBK" w:cs="Times New Roman"/>
          <w:b w:val="0"/>
          <w:bCs w:val="0"/>
          <w:sz w:val="32"/>
          <w:szCs w:val="32"/>
          <w:lang w:val="en-US" w:eastAsia="zh-CN"/>
        </w:rPr>
        <w:t>其中离退休党支部工作经费8.00万元，“春节”、“七一”拟慰问困难党员经费22.00万元，基层党建“四级联创”工作经费24.00万元，基层党员教育实训基地建设工作经费24.00万元，现代远程教育和基层服务型党组织综合平台设备维护经费6.00万元，戛洒镇人大主席团代表活动经费5.00万元，公共服务能力提升项目补助资金248万元;</w:t>
      </w:r>
      <w:r>
        <w:rPr>
          <w:rFonts w:hint="default" w:ascii="Times New Roman" w:hAnsi="Times New Roman" w:eastAsia="方正仿宋_GBK" w:cs="Times New Roman"/>
          <w:b/>
          <w:bCs/>
          <w:sz w:val="32"/>
          <w:szCs w:val="32"/>
          <w:lang w:val="en-US" w:eastAsia="zh-CN"/>
        </w:rPr>
        <w:t>科学技术支出28.00万元，</w:t>
      </w:r>
      <w:r>
        <w:rPr>
          <w:rFonts w:hint="default" w:ascii="Times New Roman" w:hAnsi="Times New Roman" w:eastAsia="方正仿宋_GBK" w:cs="Times New Roman"/>
          <w:b w:val="0"/>
          <w:bCs w:val="0"/>
          <w:sz w:val="32"/>
          <w:szCs w:val="32"/>
          <w:lang w:val="en-US" w:eastAsia="zh-CN"/>
        </w:rPr>
        <w:t>其中2023年科普经费28.00万元；</w:t>
      </w:r>
      <w:r>
        <w:rPr>
          <w:rFonts w:hint="default" w:ascii="Times New Roman" w:hAnsi="Times New Roman" w:eastAsia="方正仿宋_GBK" w:cs="Times New Roman"/>
          <w:b/>
          <w:bCs/>
          <w:sz w:val="32"/>
          <w:szCs w:val="32"/>
          <w:lang w:val="en-US" w:eastAsia="zh-CN"/>
        </w:rPr>
        <w:t>文化旅游教育与传媒支出2.00万元，</w:t>
      </w:r>
      <w:r>
        <w:rPr>
          <w:rFonts w:hint="default" w:ascii="Times New Roman" w:hAnsi="Times New Roman" w:eastAsia="方正仿宋_GBK" w:cs="Times New Roman"/>
          <w:b w:val="0"/>
          <w:bCs w:val="0"/>
          <w:sz w:val="32"/>
          <w:szCs w:val="32"/>
          <w:lang w:val="en-US" w:eastAsia="zh-CN"/>
        </w:rPr>
        <w:t>其中图书馆、文化馆免费开发资金2.00万元；</w:t>
      </w:r>
      <w:r>
        <w:rPr>
          <w:rFonts w:hint="default" w:ascii="Times New Roman" w:hAnsi="Times New Roman" w:eastAsia="方正仿宋_GBK" w:cs="Times New Roman"/>
          <w:b/>
          <w:bCs/>
          <w:sz w:val="32"/>
          <w:szCs w:val="32"/>
          <w:lang w:val="en-US" w:eastAsia="zh-CN"/>
        </w:rPr>
        <w:t>社会保障和就业支出132.00万元，</w:t>
      </w:r>
      <w:r>
        <w:rPr>
          <w:rFonts w:hint="default" w:ascii="Times New Roman" w:hAnsi="Times New Roman" w:eastAsia="方正仿宋_GBK" w:cs="Times New Roman"/>
          <w:b w:val="0"/>
          <w:bCs w:val="0"/>
          <w:sz w:val="32"/>
          <w:szCs w:val="32"/>
          <w:lang w:val="en-US" w:eastAsia="zh-CN"/>
        </w:rPr>
        <w:t>其中养老服务机构运营及建设经费74.00万元，残疾人事业经费43.00万元，“春节”、“八一”双拥座谈会经费15.00万元；</w:t>
      </w:r>
      <w:r>
        <w:rPr>
          <w:rFonts w:hint="default" w:ascii="Times New Roman" w:hAnsi="Times New Roman" w:eastAsia="方正仿宋_GBK" w:cs="Times New Roman"/>
          <w:b/>
          <w:bCs/>
          <w:sz w:val="32"/>
          <w:szCs w:val="32"/>
          <w:lang w:val="en-US" w:eastAsia="zh-CN"/>
        </w:rPr>
        <w:t>卫生健康支出3.00万元，</w:t>
      </w:r>
      <w:r>
        <w:rPr>
          <w:rFonts w:hint="default" w:ascii="Times New Roman" w:hAnsi="Times New Roman" w:eastAsia="方正仿宋_GBK" w:cs="Times New Roman"/>
          <w:b w:val="0"/>
          <w:bCs w:val="0"/>
          <w:sz w:val="32"/>
          <w:szCs w:val="32"/>
          <w:lang w:val="en-US" w:eastAsia="zh-CN"/>
        </w:rPr>
        <w:t>其中医疗服务与保障能力提升补助专项资金3.00万元；</w:t>
      </w:r>
      <w:r>
        <w:rPr>
          <w:rFonts w:hint="default" w:ascii="Times New Roman" w:hAnsi="Times New Roman" w:eastAsia="方正仿宋_GBK" w:cs="Times New Roman"/>
          <w:b/>
          <w:bCs/>
          <w:sz w:val="32"/>
          <w:szCs w:val="32"/>
          <w:lang w:val="en-US" w:eastAsia="zh-CN"/>
        </w:rPr>
        <w:t>城乡社区支出15.00万元，</w:t>
      </w:r>
      <w:r>
        <w:rPr>
          <w:rFonts w:hint="default" w:ascii="Times New Roman" w:hAnsi="Times New Roman" w:eastAsia="方正仿宋_GBK" w:cs="Times New Roman"/>
          <w:b w:val="0"/>
          <w:bCs w:val="0"/>
          <w:sz w:val="32"/>
          <w:szCs w:val="32"/>
          <w:lang w:val="en-US" w:eastAsia="zh-CN"/>
        </w:rPr>
        <w:t>其中水塘镇现刀村扒拉田小组公益房建设补助资金3.00万元，水塘镇现刀村扒拉田垃圾池建设补助经费2.00万元，平甸乡小石缸村大石缸下寨小组公厕及停车场建设专项资金4.00万元，平甸乡磨皮村磨皮大寨小组特色养殖小区进场道路硬化工程专项资金4.00万元，水塘镇现刀村扒拉田小组人居环境整治补助经费2.00万元；</w:t>
      </w:r>
      <w:r>
        <w:rPr>
          <w:rFonts w:hint="default" w:ascii="Times New Roman" w:hAnsi="Times New Roman" w:eastAsia="方正仿宋_GBK" w:cs="Times New Roman"/>
          <w:b/>
          <w:bCs/>
          <w:sz w:val="32"/>
          <w:szCs w:val="32"/>
          <w:lang w:val="en-US" w:eastAsia="zh-CN"/>
        </w:rPr>
        <w:t>农林水支出567.00万元</w:t>
      </w:r>
      <w:r>
        <w:rPr>
          <w:rFonts w:hint="default" w:ascii="Times New Roman" w:hAnsi="Times New Roman" w:eastAsia="方正仿宋_GBK" w:cs="Times New Roman"/>
          <w:b w:val="0"/>
          <w:bCs w:val="0"/>
          <w:sz w:val="32"/>
          <w:szCs w:val="32"/>
          <w:lang w:val="en-US" w:eastAsia="zh-CN"/>
        </w:rPr>
        <w:t>，其中烤烟生产专项经费370.00万元，党员活动室建设经费120.00万元，生态效益补偿资金16.00万元，红河、黄草坝水库河湖管护资金4.00万元，漠沙镇小坝多村核桃加工厂改扩建建设资金2.00万元，衔接推进乡村振兴补助资金30.00万元，农村厕所改造建设省级专项资金5.00万元，戛洒镇发启村干部规划家乡及乡村振兴工作经费1.00万元，平甸乡桃孔村农村危房闲置旧房安心拆除工作经费2.00万元，绿汁江管护工作经费1.00万元，水塘镇邦迈村发展壮大集体经济补助经费4.00万元，创业担保贷款及劳动力资源调查专项资金7.00万元，戛洒镇乡村振兴产业发展培训经费5.00万元；</w:t>
      </w:r>
      <w:r>
        <w:rPr>
          <w:rFonts w:hint="default" w:ascii="Times New Roman" w:hAnsi="Times New Roman" w:eastAsia="方正仿宋_GBK" w:cs="Times New Roman"/>
          <w:b/>
          <w:bCs/>
          <w:sz w:val="32"/>
          <w:szCs w:val="32"/>
          <w:lang w:val="en-US" w:eastAsia="zh-CN"/>
        </w:rPr>
        <w:t>自然资源海洋气象等支出2.00万元，</w:t>
      </w:r>
      <w:r>
        <w:rPr>
          <w:rFonts w:hint="default" w:ascii="Times New Roman" w:hAnsi="Times New Roman" w:eastAsia="方正仿宋_GBK" w:cs="Times New Roman"/>
          <w:b w:val="0"/>
          <w:bCs w:val="0"/>
          <w:sz w:val="32"/>
          <w:szCs w:val="32"/>
          <w:lang w:val="en-US" w:eastAsia="zh-CN"/>
        </w:rPr>
        <w:t>其中戛洒镇发启村乡村振兴“干部规划家乡市级补助经费2.00万元；</w:t>
      </w:r>
      <w:r>
        <w:rPr>
          <w:rFonts w:hint="default" w:ascii="Times New Roman" w:hAnsi="Times New Roman" w:eastAsia="方正仿宋_GBK" w:cs="Times New Roman"/>
          <w:b/>
          <w:bCs/>
          <w:sz w:val="32"/>
          <w:szCs w:val="32"/>
          <w:lang w:val="en-US" w:eastAsia="zh-CN"/>
        </w:rPr>
        <w:t>住房保障支出167.00万元，</w:t>
      </w:r>
      <w:r>
        <w:rPr>
          <w:rFonts w:hint="default" w:ascii="Times New Roman" w:hAnsi="Times New Roman" w:eastAsia="方正仿宋_GBK" w:cs="Times New Roman"/>
          <w:b w:val="0"/>
          <w:bCs w:val="0"/>
          <w:sz w:val="32"/>
          <w:szCs w:val="32"/>
          <w:lang w:val="en-US" w:eastAsia="zh-CN"/>
        </w:rPr>
        <w:t>其中农村危房改造补助资金167.00万元。</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年中央、省提前下达</w:t>
      </w:r>
      <w:r>
        <w:rPr>
          <w:rFonts w:hint="default" w:ascii="Times New Roman" w:hAnsi="Times New Roman" w:eastAsia="方正仿宋_GBK" w:cs="Times New Roman"/>
          <w:sz w:val="32"/>
          <w:szCs w:val="32"/>
          <w:lang w:eastAsia="zh-CN"/>
        </w:rPr>
        <w:t>新平县</w:t>
      </w:r>
      <w:r>
        <w:rPr>
          <w:rFonts w:hint="default" w:ascii="Times New Roman" w:hAnsi="Times New Roman" w:eastAsia="方正仿宋_GBK" w:cs="Times New Roman"/>
          <w:sz w:val="32"/>
          <w:szCs w:val="32"/>
        </w:rPr>
        <w:t>一般性转移</w:t>
      </w:r>
      <w:r>
        <w:rPr>
          <w:rFonts w:hint="default" w:ascii="Times New Roman" w:hAnsi="Times New Roman" w:eastAsia="方正仿宋_GBK" w:cs="Times New Roman"/>
          <w:color w:val="auto"/>
          <w:sz w:val="32"/>
          <w:szCs w:val="32"/>
        </w:rPr>
        <w:t>支付</w:t>
      </w:r>
      <w:r>
        <w:rPr>
          <w:rFonts w:hint="default" w:ascii="Times New Roman" w:hAnsi="Times New Roman" w:eastAsia="方正仿宋_GBK" w:cs="Times New Roman"/>
          <w:color w:val="auto"/>
          <w:sz w:val="32"/>
          <w:szCs w:val="32"/>
          <w:lang w:val="en-US" w:eastAsia="zh-CN"/>
        </w:rPr>
        <w:t>67,755.00</w:t>
      </w:r>
      <w:r>
        <w:rPr>
          <w:rFonts w:hint="default" w:ascii="Times New Roman" w:hAnsi="Times New Roman" w:eastAsia="方正仿宋_GBK" w:cs="Times New Roman"/>
          <w:color w:val="auto"/>
          <w:sz w:val="32"/>
          <w:szCs w:val="32"/>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年，预计上级补助收入</w:t>
      </w:r>
      <w:r>
        <w:rPr>
          <w:rFonts w:hint="default" w:ascii="Times New Roman" w:hAnsi="Times New Roman" w:eastAsia="方正仿宋_GBK" w:cs="Times New Roman"/>
          <w:sz w:val="32"/>
          <w:szCs w:val="32"/>
          <w:lang w:val="en-US" w:eastAsia="zh-CN"/>
        </w:rPr>
        <w:t>147,925.00</w:t>
      </w:r>
      <w:r>
        <w:rPr>
          <w:rFonts w:hint="default" w:ascii="Times New Roman" w:hAnsi="Times New Roman" w:eastAsia="方正仿宋_GBK" w:cs="Times New Roman"/>
          <w:sz w:val="32"/>
          <w:szCs w:val="32"/>
        </w:rPr>
        <w:t xml:space="preserve"> 万元，其中：返还性收入</w:t>
      </w:r>
      <w:r>
        <w:rPr>
          <w:rFonts w:hint="default" w:ascii="Times New Roman" w:hAnsi="Times New Roman" w:eastAsia="方正仿宋_GBK" w:cs="Times New Roman"/>
          <w:sz w:val="32"/>
          <w:szCs w:val="32"/>
          <w:lang w:val="en-US" w:eastAsia="zh-CN"/>
        </w:rPr>
        <w:t>-5,166.00</w:t>
      </w:r>
      <w:r>
        <w:rPr>
          <w:rFonts w:hint="default" w:ascii="Times New Roman" w:hAnsi="Times New Roman" w:eastAsia="方正仿宋_GBK" w:cs="Times New Roman"/>
          <w:sz w:val="32"/>
          <w:szCs w:val="32"/>
        </w:rPr>
        <w:t>万元；一般性转移支付补助收入</w:t>
      </w:r>
      <w:r>
        <w:rPr>
          <w:rFonts w:hint="default" w:ascii="Times New Roman" w:hAnsi="Times New Roman" w:eastAsia="方正仿宋_GBK" w:cs="Times New Roman"/>
          <w:sz w:val="32"/>
          <w:szCs w:val="32"/>
          <w:lang w:val="en-US" w:eastAsia="zh-CN"/>
        </w:rPr>
        <w:t>116,091.00</w:t>
      </w:r>
      <w:r>
        <w:rPr>
          <w:rFonts w:hint="default" w:ascii="Times New Roman" w:hAnsi="Times New Roman" w:eastAsia="方正仿宋_GBK" w:cs="Times New Roman"/>
          <w:sz w:val="32"/>
          <w:szCs w:val="32"/>
        </w:rPr>
        <w:t>万元；上级专项补助收入</w:t>
      </w:r>
      <w:r>
        <w:rPr>
          <w:rFonts w:hint="default" w:ascii="Times New Roman" w:hAnsi="Times New Roman" w:eastAsia="方正仿宋_GBK" w:cs="Times New Roman"/>
          <w:sz w:val="32"/>
          <w:szCs w:val="32"/>
          <w:lang w:val="en-US" w:eastAsia="zh-CN"/>
        </w:rPr>
        <w:t>37,000.00</w:t>
      </w:r>
      <w:r>
        <w:rPr>
          <w:rFonts w:hint="default" w:ascii="Times New Roman" w:hAnsi="Times New Roman" w:eastAsia="方正仿宋_GBK" w:cs="Times New Roman"/>
          <w:sz w:val="32"/>
          <w:szCs w:val="32"/>
        </w:rPr>
        <w:t>万元。使用情况：返还性收入和一般性转移支付补助收入中的财力性部分主要用于人员供养支出、部门（单位）和乡</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街道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正常运转支出、民生支出。一般性转移支付补助收入中的共同财权事权支出及专项转移支付补助收入根据上级下达专项用途安排支出。</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2240" w:firstLineChars="7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新平彝族傣族自治县</w:t>
      </w:r>
      <w:r>
        <w:rPr>
          <w:rFonts w:hint="default" w:ascii="Times New Roman" w:hAnsi="Times New Roman" w:eastAsia="方正仿宋_GBK" w:cs="Times New Roman"/>
          <w:sz w:val="32"/>
          <w:szCs w:val="32"/>
        </w:rPr>
        <w:t xml:space="preserve">财政局 </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5760" w:firstLineChars="1800"/>
        <w:textAlignment w:val="auto"/>
        <w:rPr>
          <w:rFonts w:hint="default" w:ascii="Times New Roman" w:hAnsi="Times New Roman" w:eastAsia="方正楷体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日</w:t>
      </w:r>
    </w:p>
    <w:bookmarkEnd w:id="0"/>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14DEF"/>
    <w:rsid w:val="02354593"/>
    <w:rsid w:val="02F37AF4"/>
    <w:rsid w:val="07E0276C"/>
    <w:rsid w:val="07E94682"/>
    <w:rsid w:val="0A0A45A2"/>
    <w:rsid w:val="0D191FBF"/>
    <w:rsid w:val="0D227C60"/>
    <w:rsid w:val="143B5BCE"/>
    <w:rsid w:val="1886605C"/>
    <w:rsid w:val="19F33242"/>
    <w:rsid w:val="1D6528E0"/>
    <w:rsid w:val="20E7318A"/>
    <w:rsid w:val="24C52882"/>
    <w:rsid w:val="24EA54B3"/>
    <w:rsid w:val="2B843F7E"/>
    <w:rsid w:val="2F5947D1"/>
    <w:rsid w:val="31AA0473"/>
    <w:rsid w:val="325109D1"/>
    <w:rsid w:val="33774743"/>
    <w:rsid w:val="3A0600FD"/>
    <w:rsid w:val="3B1D7C44"/>
    <w:rsid w:val="3E1C7116"/>
    <w:rsid w:val="466214B0"/>
    <w:rsid w:val="46C6301B"/>
    <w:rsid w:val="46D34DE2"/>
    <w:rsid w:val="4A9336B2"/>
    <w:rsid w:val="4C2F2AF6"/>
    <w:rsid w:val="4EB21D26"/>
    <w:rsid w:val="4F576BB8"/>
    <w:rsid w:val="502803EA"/>
    <w:rsid w:val="510224A7"/>
    <w:rsid w:val="543B70CF"/>
    <w:rsid w:val="587046A1"/>
    <w:rsid w:val="59E96DD7"/>
    <w:rsid w:val="5EA83464"/>
    <w:rsid w:val="61CA6128"/>
    <w:rsid w:val="6E486093"/>
    <w:rsid w:val="6F170E2D"/>
    <w:rsid w:val="6FFA1932"/>
    <w:rsid w:val="77900E00"/>
    <w:rsid w:val="7C622544"/>
    <w:rsid w:val="7D43360F"/>
    <w:rsid w:val="7D4F3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 然   盈             </cp:lastModifiedBy>
  <dcterms:modified xsi:type="dcterms:W3CDTF">2024-03-04T01:32:27Z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1E3D011BC7774E17B100759B3F1E6558</vt:lpwstr>
  </property>
</Properties>
</file>