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default" w:ascii="Times New Roman" w:hAnsi="Times New Roman" w:eastAsia="方正小标宋简体" w:cs="Times New Roman"/>
          <w:color w:val="auto"/>
          <w:spacing w:val="0"/>
          <w:w w:val="1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关于新平彝族傣族自治县202</w:t>
      </w:r>
      <w:r>
        <w:rPr>
          <w:rFonts w:hint="default" w:ascii="Times New Roman" w:hAnsi="Times New Roman" w:eastAsia="方正小标宋简体" w:cs="Times New Roman"/>
          <w:color w:val="auto"/>
          <w:sz w:val="44"/>
          <w:szCs w:val="44"/>
          <w:lang w:val="en-US" w:eastAsia="zh-CN"/>
        </w:rPr>
        <w:t>1</w:t>
      </w:r>
      <w:r>
        <w:rPr>
          <w:rFonts w:hint="default" w:ascii="Times New Roman" w:hAnsi="Times New Roman" w:eastAsia="方正小标宋简体" w:cs="Times New Roman"/>
          <w:color w:val="auto"/>
          <w:sz w:val="44"/>
          <w:szCs w:val="44"/>
        </w:rPr>
        <w:t>年国民经济和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社会发展计划执行情况与202</w:t>
      </w:r>
      <w:r>
        <w:rPr>
          <w:rFonts w:hint="default" w:ascii="Times New Roman" w:hAnsi="Times New Roman" w:eastAsia="方正小标宋简体" w:cs="Times New Roman"/>
          <w:color w:val="auto"/>
          <w:sz w:val="44"/>
          <w:szCs w:val="44"/>
          <w:lang w:val="en-US" w:eastAsia="zh-CN"/>
        </w:rPr>
        <w:t>2</w:t>
      </w:r>
      <w:r>
        <w:rPr>
          <w:rFonts w:hint="default" w:ascii="Times New Roman" w:hAnsi="Times New Roman" w:eastAsia="方正小标宋简体" w:cs="Times New Roman"/>
          <w:color w:val="auto"/>
          <w:sz w:val="44"/>
          <w:szCs w:val="44"/>
        </w:rPr>
        <w:t>年国民经济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44"/>
          <w:szCs w:val="44"/>
        </w:rPr>
        <w:t>和社会发展计划（草案）的报告（书面）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征求意见</w:t>
      </w:r>
      <w:r>
        <w:rPr>
          <w:rFonts w:hint="default" w:ascii="Times New Roman" w:hAnsi="Times New Roman" w:eastAsia="仿宋_GB2312" w:cs="Times New Roman"/>
          <w:color w:val="auto"/>
          <w:sz w:val="32"/>
          <w:szCs w:val="32"/>
          <w:lang w:val="en-US" w:eastAsia="zh-CN"/>
        </w:rPr>
        <w:t>稿</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受县人民政府委托，现将新平彝族傣族自治县202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年国民经济和社会发展计划执行情况与202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年国民经济和社会发展计划（草案）的报告提请县第十</w:t>
      </w:r>
      <w:r>
        <w:rPr>
          <w:rFonts w:hint="default" w:ascii="Times New Roman" w:hAnsi="Times New Roman" w:eastAsia="仿宋_GB2312" w:cs="Times New Roman"/>
          <w:color w:val="auto"/>
          <w:sz w:val="32"/>
          <w:szCs w:val="32"/>
          <w:lang w:val="en-US" w:eastAsia="zh-CN"/>
        </w:rPr>
        <w:t>八次</w:t>
      </w:r>
      <w:r>
        <w:rPr>
          <w:rFonts w:hint="default" w:ascii="Times New Roman" w:hAnsi="Times New Roman" w:eastAsia="仿宋_GB2312" w:cs="Times New Roman"/>
          <w:color w:val="auto"/>
          <w:sz w:val="32"/>
          <w:szCs w:val="32"/>
        </w:rPr>
        <w:t>人民代表大会审查，并请各位列席的同志提出意见。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一、202</w:t>
      </w:r>
      <w:r>
        <w:rPr>
          <w:rFonts w:hint="default"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rPr>
        <w:t>年国民经济和社会发展计划执行情况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2021年是“十四五”规划开局之年，是中国共产党建党100周年。面对新冠疫情冲击和国内外风险挑战明显上升的复杂局面，在县委的坚强领导下，在县人大、县政协的监督和支持下，始终坚持稳中求进工作总基调，</w:t>
      </w:r>
      <w:r>
        <w:rPr>
          <w:rFonts w:hint="default" w:ascii="Times New Roman" w:hAnsi="Times New Roman" w:eastAsia="仿宋_GB2312" w:cs="Times New Roman"/>
          <w:color w:val="auto"/>
          <w:sz w:val="32"/>
          <w:szCs w:val="32"/>
          <w:lang w:val="en-US" w:eastAsia="zh-CN"/>
        </w:rPr>
        <w:t>把握新发展阶段、贯彻</w:t>
      </w:r>
      <w:r>
        <w:rPr>
          <w:rFonts w:hint="default" w:ascii="Times New Roman" w:hAnsi="Times New Roman" w:eastAsia="仿宋_GB2312" w:cs="Times New Roman"/>
          <w:color w:val="auto"/>
          <w:sz w:val="32"/>
          <w:szCs w:val="32"/>
        </w:rPr>
        <w:t>新发展理念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构建新发展格局，</w:t>
      </w:r>
      <w:r>
        <w:rPr>
          <w:rFonts w:hint="default" w:ascii="Times New Roman" w:hAnsi="Times New Roman" w:eastAsia="仿宋_GB2312" w:cs="Times New Roman"/>
          <w:color w:val="auto"/>
          <w:sz w:val="32"/>
          <w:szCs w:val="32"/>
        </w:rPr>
        <w:t>主动适应经济发展新常态，扎实做好“六稳”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“六保”</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，高位统筹疫情防控与经济</w:t>
      </w:r>
      <w:r>
        <w:rPr>
          <w:rFonts w:hint="default" w:ascii="Times New Roman" w:hAnsi="Times New Roman" w:eastAsia="仿宋_GB2312" w:cs="Times New Roman"/>
          <w:color w:val="auto"/>
          <w:sz w:val="32"/>
          <w:szCs w:val="32"/>
          <w:lang w:val="en-US" w:eastAsia="zh-CN"/>
        </w:rPr>
        <w:t>社会</w:t>
      </w:r>
      <w:r>
        <w:rPr>
          <w:rFonts w:hint="default" w:ascii="Times New Roman" w:hAnsi="Times New Roman" w:eastAsia="仿宋_GB2312" w:cs="Times New Roman"/>
          <w:color w:val="auto"/>
          <w:sz w:val="32"/>
          <w:szCs w:val="32"/>
        </w:rPr>
        <w:t>发展，</w:t>
      </w:r>
      <w:r>
        <w:rPr>
          <w:rFonts w:hint="default" w:ascii="Times New Roman" w:hAnsi="Times New Roman" w:eastAsia="仿宋_GB2312" w:cs="Times New Roman"/>
          <w:color w:val="auto"/>
          <w:sz w:val="32"/>
          <w:szCs w:val="32"/>
          <w:lang w:val="en-US" w:eastAsia="zh-CN"/>
        </w:rPr>
        <w:t>基本完成县</w:t>
      </w: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rPr>
        <w:t>届人大</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次会议确定的经济社会发展预期目标</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（一）县域经济持续增长。</w:t>
      </w:r>
      <w:r>
        <w:rPr>
          <w:rFonts w:hint="default" w:ascii="Times New Roman" w:hAnsi="Times New Roman" w:eastAsia="仿宋_GB2312" w:cs="Times New Roman"/>
          <w:color w:val="auto"/>
          <w:sz w:val="32"/>
          <w:szCs w:val="32"/>
          <w:lang w:val="en-US" w:eastAsia="zh-CN"/>
        </w:rPr>
        <w:t>全县预计（下同）实现</w:t>
      </w:r>
      <w:r>
        <w:rPr>
          <w:rFonts w:hint="default" w:ascii="Times New Roman" w:hAnsi="Times New Roman" w:eastAsia="仿宋_GB2312" w:cs="Times New Roman"/>
          <w:color w:val="auto"/>
          <w:sz w:val="32"/>
          <w:szCs w:val="32"/>
        </w:rPr>
        <w:t>地区生产总值</w:t>
      </w:r>
      <w:r>
        <w:rPr>
          <w:rFonts w:hint="default" w:ascii="Times New Roman" w:hAnsi="Times New Roman" w:eastAsia="仿宋_GB2312" w:cs="Times New Roman"/>
          <w:color w:val="auto"/>
          <w:sz w:val="32"/>
          <w:szCs w:val="32"/>
          <w:lang w:val="en-US" w:eastAsia="zh-CN"/>
        </w:rPr>
        <w:t>242.1</w:t>
      </w:r>
      <w:r>
        <w:rPr>
          <w:rFonts w:hint="default" w:ascii="Times New Roman" w:hAnsi="Times New Roman" w:eastAsia="仿宋_GB2312" w:cs="Times New Roman"/>
          <w:color w:val="auto"/>
          <w:sz w:val="32"/>
          <w:szCs w:val="32"/>
        </w:rPr>
        <w:t>亿元，同比增长</w:t>
      </w:r>
      <w:r>
        <w:rPr>
          <w:rFonts w:hint="default" w:ascii="Times New Roman" w:hAnsi="Times New Roman" w:eastAsia="仿宋_GB2312" w:cs="Times New Roman"/>
          <w:color w:val="auto"/>
          <w:sz w:val="32"/>
          <w:szCs w:val="32"/>
          <w:lang w:val="en-US" w:eastAsia="zh-CN"/>
        </w:rPr>
        <w:t>10.5</w:t>
      </w:r>
      <w:r>
        <w:rPr>
          <w:rFonts w:hint="default" w:ascii="Times New Roman" w:hAnsi="Times New Roman" w:eastAsia="仿宋_GB2312" w:cs="Times New Roman"/>
          <w:color w:val="auto"/>
          <w:sz w:val="32"/>
          <w:szCs w:val="32"/>
        </w:rPr>
        <w:t>%，高于</w:t>
      </w:r>
      <w:r>
        <w:rPr>
          <w:rFonts w:hint="default" w:ascii="Times New Roman" w:hAnsi="Times New Roman" w:eastAsia="仿宋_GB2312" w:cs="Times New Roman"/>
          <w:color w:val="auto"/>
          <w:sz w:val="32"/>
          <w:szCs w:val="32"/>
          <w:lang w:val="en-US" w:eastAsia="zh-CN"/>
        </w:rPr>
        <w:t>计划</w:t>
      </w:r>
      <w:r>
        <w:rPr>
          <w:rFonts w:hint="default" w:ascii="Times New Roman" w:hAnsi="Times New Roman" w:eastAsia="仿宋_GB2312" w:cs="Times New Roman"/>
          <w:color w:val="auto"/>
          <w:sz w:val="32"/>
          <w:szCs w:val="32"/>
        </w:rPr>
        <w:t>目标</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个百分点。</w:t>
      </w:r>
      <w:r>
        <w:rPr>
          <w:rFonts w:hint="default" w:ascii="Times New Roman" w:hAnsi="Times New Roman" w:eastAsia="仿宋_GB2312" w:cs="Times New Roman"/>
          <w:color w:val="auto"/>
          <w:sz w:val="32"/>
          <w:szCs w:val="32"/>
          <w:lang w:val="en-US" w:eastAsia="zh-CN"/>
        </w:rPr>
        <w:t>其中第一、二、三次产业增加值分别完成35.6亿元、97.2亿元、109.2亿元，分别增长8%、6.5%和14.8%，比重调整为14.7：40.2：45.1，依然保持三二一合理产业结构。</w:t>
      </w:r>
      <w:r>
        <w:rPr>
          <w:rFonts w:hint="default" w:ascii="Times New Roman" w:hAnsi="Times New Roman" w:eastAsia="仿宋_GB2312" w:cs="Times New Roman"/>
          <w:color w:val="auto"/>
          <w:sz w:val="32"/>
          <w:szCs w:val="32"/>
        </w:rPr>
        <w:t>规模以上工业增加值</w:t>
      </w:r>
      <w:r>
        <w:rPr>
          <w:rFonts w:hint="default" w:ascii="Times New Roman" w:hAnsi="Times New Roman" w:eastAsia="仿宋_GB2312" w:cs="Times New Roman"/>
          <w:color w:val="auto"/>
          <w:sz w:val="32"/>
          <w:szCs w:val="32"/>
          <w:lang w:val="en-US" w:eastAsia="zh-CN"/>
        </w:rPr>
        <w:t>76.8</w:t>
      </w:r>
      <w:r>
        <w:rPr>
          <w:rFonts w:hint="default" w:ascii="Times New Roman" w:hAnsi="Times New Roman" w:eastAsia="仿宋_GB2312" w:cs="Times New Roman"/>
          <w:color w:val="auto"/>
          <w:sz w:val="32"/>
          <w:szCs w:val="32"/>
        </w:rPr>
        <w:t>亿元，</w:t>
      </w:r>
      <w:r>
        <w:rPr>
          <w:rFonts w:hint="default" w:ascii="Times New Roman" w:hAnsi="Times New Roman" w:eastAsia="仿宋_GB2312" w:cs="Times New Roman"/>
          <w:color w:val="auto"/>
          <w:sz w:val="32"/>
          <w:szCs w:val="32"/>
          <w:lang w:val="en-US" w:eastAsia="zh-CN"/>
        </w:rPr>
        <w:t>同比</w:t>
      </w:r>
      <w:r>
        <w:rPr>
          <w:rFonts w:hint="default" w:ascii="Times New Roman" w:hAnsi="Times New Roman" w:eastAsia="仿宋_GB2312" w:cs="Times New Roman"/>
          <w:color w:val="auto"/>
          <w:sz w:val="32"/>
          <w:szCs w:val="32"/>
        </w:rPr>
        <w:t>增长</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高于计划目标2个百分点</w:t>
      </w:r>
      <w:r>
        <w:rPr>
          <w:rFonts w:hint="default" w:ascii="Times New Roman" w:hAnsi="Times New Roman" w:eastAsia="仿宋_GB2312" w:cs="Times New Roman"/>
          <w:color w:val="auto"/>
          <w:sz w:val="32"/>
          <w:szCs w:val="32"/>
        </w:rPr>
        <w:t>。固定资产投资</w:t>
      </w:r>
      <w:r>
        <w:rPr>
          <w:rFonts w:hint="default" w:ascii="Times New Roman" w:hAnsi="Times New Roman" w:eastAsia="仿宋_GB2312" w:cs="Times New Roman"/>
          <w:color w:val="auto"/>
          <w:sz w:val="32"/>
          <w:szCs w:val="32"/>
          <w:lang w:val="en-US" w:eastAsia="zh-CN"/>
        </w:rPr>
        <w:t>93.5</w:t>
      </w:r>
      <w:r>
        <w:rPr>
          <w:rFonts w:hint="default" w:ascii="Times New Roman" w:hAnsi="Times New Roman" w:eastAsia="仿宋_GB2312" w:cs="Times New Roman"/>
          <w:color w:val="auto"/>
          <w:sz w:val="32"/>
          <w:szCs w:val="32"/>
        </w:rPr>
        <w:t>亿元，</w:t>
      </w:r>
      <w:r>
        <w:rPr>
          <w:rFonts w:hint="default" w:ascii="Times New Roman" w:hAnsi="Times New Roman" w:eastAsia="仿宋_GB2312" w:cs="Times New Roman"/>
          <w:color w:val="auto"/>
          <w:sz w:val="32"/>
          <w:szCs w:val="32"/>
          <w:lang w:val="en-US" w:eastAsia="zh-CN"/>
        </w:rPr>
        <w:t>同比</w:t>
      </w:r>
      <w:r>
        <w:rPr>
          <w:rFonts w:hint="default" w:ascii="Times New Roman" w:hAnsi="Times New Roman" w:eastAsia="仿宋_GB2312" w:cs="Times New Roman"/>
          <w:color w:val="auto"/>
          <w:sz w:val="32"/>
          <w:szCs w:val="32"/>
        </w:rPr>
        <w:t>增长</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%，高于</w:t>
      </w:r>
      <w:r>
        <w:rPr>
          <w:rFonts w:hint="default" w:ascii="Times New Roman" w:hAnsi="Times New Roman" w:eastAsia="仿宋_GB2312" w:cs="Times New Roman"/>
          <w:color w:val="auto"/>
          <w:sz w:val="32"/>
          <w:szCs w:val="32"/>
          <w:lang w:val="en-US" w:eastAsia="zh-CN"/>
        </w:rPr>
        <w:t>计划</w:t>
      </w:r>
      <w:r>
        <w:rPr>
          <w:rFonts w:hint="default" w:ascii="Times New Roman" w:hAnsi="Times New Roman" w:eastAsia="仿宋_GB2312" w:cs="Times New Roman"/>
          <w:color w:val="auto"/>
          <w:sz w:val="32"/>
          <w:szCs w:val="32"/>
        </w:rPr>
        <w:t>目标</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个百分点。</w:t>
      </w:r>
      <w:r>
        <w:rPr>
          <w:rFonts w:hint="default" w:ascii="Times New Roman" w:hAnsi="Times New Roman" w:eastAsia="仿宋_GB2312" w:cs="Times New Roman"/>
          <w:color w:val="auto"/>
          <w:sz w:val="32"/>
          <w:szCs w:val="32"/>
          <w:lang w:val="en-US" w:eastAsia="zh-CN"/>
        </w:rPr>
        <w:t>一般公共预算收入12.6</w:t>
      </w:r>
      <w:r>
        <w:rPr>
          <w:rFonts w:hint="default" w:ascii="Times New Roman" w:hAnsi="Times New Roman" w:eastAsia="仿宋_GB2312" w:cs="Times New Roman"/>
          <w:color w:val="auto"/>
          <w:sz w:val="32"/>
          <w:szCs w:val="32"/>
        </w:rPr>
        <w:t>亿元，同比</w:t>
      </w:r>
      <w:r>
        <w:rPr>
          <w:rFonts w:hint="default" w:ascii="Times New Roman" w:hAnsi="Times New Roman" w:eastAsia="仿宋_GB2312" w:cs="Times New Roman"/>
          <w:color w:val="auto"/>
          <w:sz w:val="32"/>
          <w:szCs w:val="32"/>
          <w:lang w:val="en-US" w:eastAsia="zh-CN"/>
        </w:rPr>
        <w:t>下降2.1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与计划</w:t>
      </w:r>
      <w:r>
        <w:rPr>
          <w:rFonts w:hint="default" w:ascii="Times New Roman" w:hAnsi="Times New Roman" w:eastAsia="仿宋_GB2312" w:cs="Times New Roman"/>
          <w:color w:val="auto"/>
          <w:sz w:val="32"/>
          <w:szCs w:val="32"/>
        </w:rPr>
        <w:t>目标</w:t>
      </w:r>
      <w:r>
        <w:rPr>
          <w:rFonts w:hint="default" w:ascii="Times New Roman" w:hAnsi="Times New Roman" w:eastAsia="仿宋_GB2312" w:cs="Times New Roman"/>
          <w:color w:val="auto"/>
          <w:sz w:val="32"/>
          <w:szCs w:val="32"/>
          <w:lang w:val="en-US" w:eastAsia="zh-CN"/>
        </w:rPr>
        <w:t>持平</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一般公共预算支出29.3亿元，同比下降17.1%。</w:t>
      </w:r>
      <w:r>
        <w:rPr>
          <w:rFonts w:hint="default" w:ascii="Times New Roman" w:hAnsi="Times New Roman" w:eastAsia="仿宋_GB2312" w:cs="Times New Roman"/>
          <w:color w:val="auto"/>
          <w:sz w:val="32"/>
          <w:szCs w:val="32"/>
        </w:rPr>
        <w:t>社会消费品零售总额</w:t>
      </w:r>
      <w:r>
        <w:rPr>
          <w:rFonts w:hint="default" w:ascii="Times New Roman" w:hAnsi="Times New Roman" w:eastAsia="仿宋_GB2312" w:cs="Times New Roman"/>
          <w:color w:val="auto"/>
          <w:sz w:val="32"/>
          <w:szCs w:val="32"/>
          <w:lang w:val="en-US" w:eastAsia="zh-CN"/>
        </w:rPr>
        <w:t>90.4</w:t>
      </w:r>
      <w:r>
        <w:rPr>
          <w:rFonts w:hint="default" w:ascii="Times New Roman" w:hAnsi="Times New Roman" w:eastAsia="仿宋_GB2312" w:cs="Times New Roman"/>
          <w:color w:val="auto"/>
          <w:sz w:val="32"/>
          <w:szCs w:val="32"/>
        </w:rPr>
        <w:t>亿元，</w:t>
      </w:r>
      <w:r>
        <w:rPr>
          <w:rFonts w:hint="default" w:ascii="Times New Roman" w:hAnsi="Times New Roman" w:eastAsia="仿宋_GB2312" w:cs="Times New Roman"/>
          <w:color w:val="auto"/>
          <w:sz w:val="32"/>
          <w:szCs w:val="32"/>
          <w:lang w:val="en-US" w:eastAsia="zh-CN"/>
        </w:rPr>
        <w:t>同比</w:t>
      </w:r>
      <w:r>
        <w:rPr>
          <w:rFonts w:hint="default" w:ascii="Times New Roman" w:hAnsi="Times New Roman" w:eastAsia="仿宋_GB2312" w:cs="Times New Roman"/>
          <w:color w:val="auto"/>
          <w:sz w:val="32"/>
          <w:szCs w:val="32"/>
        </w:rPr>
        <w:t>增长</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%，高于</w:t>
      </w:r>
      <w:r>
        <w:rPr>
          <w:rFonts w:hint="default" w:ascii="Times New Roman" w:hAnsi="Times New Roman" w:eastAsia="仿宋_GB2312" w:cs="Times New Roman"/>
          <w:color w:val="auto"/>
          <w:sz w:val="32"/>
          <w:szCs w:val="32"/>
          <w:lang w:val="en-US" w:eastAsia="zh-CN"/>
        </w:rPr>
        <w:t>计划</w:t>
      </w:r>
      <w:r>
        <w:rPr>
          <w:rFonts w:hint="default" w:ascii="Times New Roman" w:hAnsi="Times New Roman" w:eastAsia="仿宋_GB2312" w:cs="Times New Roman"/>
          <w:color w:val="auto"/>
          <w:sz w:val="32"/>
          <w:szCs w:val="32"/>
        </w:rPr>
        <w:t>目标</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个百分点。</w:t>
      </w:r>
      <w:r>
        <w:rPr>
          <w:rFonts w:hint="default" w:ascii="Times New Roman" w:hAnsi="Times New Roman" w:eastAsia="仿宋_GB2312" w:cs="Times New Roman"/>
          <w:color w:val="auto"/>
          <w:sz w:val="32"/>
          <w:szCs w:val="32"/>
          <w:lang w:val="en-US" w:eastAsia="zh-CN"/>
        </w:rPr>
        <w:t>城镇居民人均可支配收入45308元，同比增长8%；农村居民人均可支配收入17285元，同比增长9%。引进市外国内资金70亿元，同比增长20%；进出口总额1577万美元，同比下降87.2%；新纳规纳限37户，圆满完成市级下达目标任务。</w:t>
      </w:r>
      <w:r>
        <w:rPr>
          <w:rFonts w:hint="default" w:ascii="Times New Roman" w:hAnsi="Times New Roman" w:eastAsia="仿宋_GB2312" w:cs="Times New Roman"/>
          <w:color w:val="auto"/>
          <w:sz w:val="32"/>
          <w:szCs w:val="32"/>
        </w:rPr>
        <w:t>总体来看，经济增长好于预期，质量和效益实现双提升，稳定性、协调性和可持续性增强，为全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经济高质量发展打下坚实基础。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（二）现代农业彰显特色。</w:t>
      </w:r>
      <w:r>
        <w:rPr>
          <w:rFonts w:hint="default" w:ascii="Times New Roman" w:hAnsi="Times New Roman" w:eastAsia="仿宋_GB2312" w:cs="Times New Roman"/>
          <w:color w:val="auto"/>
          <w:sz w:val="32"/>
          <w:szCs w:val="32"/>
          <w:lang w:val="en-US" w:eastAsia="zh-CN"/>
        </w:rPr>
        <w:t>特色农业稳步发展，预计（下同）实现农业增加值36.1亿元，同比增长8%；高度重视粮食安全，完成粮食作物种植面积55.4万亩，实现粮食产量1.98亿公斤；实现畜牧业产值15.1亿元，同比增长9.9%；实现水果产值14.3亿元，同比增长15.5%；完成烟叶收购量950万公斤，均价31.03元/公斤，实现烟农交售收入2.95亿元；完成蔬菜产值10.7亿元、甘蔗产值1.38亿元、茶叶产值0.75亿元、中药材产值1.09亿元。农业基础持续巩固，以实现百亿级畜牧产业及百万头生猪调出大县为目标，高位推进70万头生猪项目，漠沙15000头父母代种猪场、12万头生猪育肥场建成投产，开工建设36万吨德康饲料加工厂，生猪屠宰及肉食品加工项目前期工作进展顺利；高标准农田建设稳步推进；成功创建云南省“一县一业（水果）”示范县，列入国家农业现代化示范区创建名单。新型经营主体不断壮大，新增家庭农场81家，其中县级示范家庭农场14家；新培育农业产业化重点龙头企业省级4户、市级1户。“三品一标”认证成效明显，新增绿色食品认证企业14户14个产品，有机食品认证企业10户20个产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（三）工业经济持续发力。</w:t>
      </w:r>
      <w:r>
        <w:rPr>
          <w:rFonts w:hint="default" w:ascii="Times New Roman" w:hAnsi="Times New Roman" w:eastAsia="仿宋_GB2312" w:cs="Times New Roman"/>
          <w:color w:val="auto"/>
          <w:sz w:val="32"/>
          <w:szCs w:val="32"/>
          <w:lang w:val="en-US" w:eastAsia="zh-CN"/>
        </w:rPr>
        <w:t>在能耗双控制约的背景下，工业经济持续发力，预计完成规模以上工业增加值76.8亿元，同比增长6%。工业发展后劲不断凸显，仙福集团产能置换技改一期建成投产；甬福150万吨固废综合利用、穆鑫废旧轮胎加工、宏山生物工业大麻项目试生产，大红山铁矿智能化矿山、二道河矿段100万吨采选工程全面推进；年产180万吨1050mm热轧优特带钢生产线、150万吨铜矿带持续采矿二期、鲁电80万t/a地下采矿工程改扩建、2000t/d熟料水泥生产线节能环保提升改造等项目稳步推进。园区发展空间不断拓展，园区产业发展规划完成行业审查；园区总体规划修编通过县市级行业审查；桂山片区产城融合基础设施建设项目顺利推进，扬武片区园区综合污水集中处理设施及配套管网工程等项目前期工作取得实质进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（四）第三产业迅猛发展。</w:t>
      </w:r>
      <w:r>
        <w:rPr>
          <w:rFonts w:hint="default" w:ascii="Times New Roman" w:hAnsi="Times New Roman" w:eastAsia="仿宋_GB2312" w:cs="Times New Roman"/>
          <w:color w:val="auto"/>
          <w:sz w:val="32"/>
          <w:szCs w:val="32"/>
          <w:lang w:val="en-US" w:eastAsia="zh-CN"/>
        </w:rPr>
        <w:t>在疫情防控依然严峻的形势下，服务业蓬勃发展，预计（下同）实现第三产业增加值109.2亿元，同比增长14.8%。旅游经济持续增长，“花腰傣”、“哀牢山”品牌吸引力和影响力不断提升，“旅游强县”、“旅游名镇”等名片效应逐渐凸显，全年预计接待游客560万人次，同比增长12.5%，实现旅游总收入47亿元，同比增长15.8%。旅游基础不断夯实，欢乐水世界旅游扶贫及配套设施建设项目开工建设，完成新平县高端商务酒店建设项目前期工作。商贸流通不断巩固，农产品智慧冷链物流园建设稳步推进，大开门大型物流仓储中心等项目前期工作有序开展。农村电商加快发展，建成一个县级电子商务物流分拨中心，10个社区服务快递超市，18个乡镇快递服务站。消费市场日益活跃，批零住餐、金融保险等传统服务业巩固提升，电子商务等新兴服务业异常活跃，实现社会消费品零售总额91.2亿元，同比增长16%。</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（五）发展基础不断夯实。</w:t>
      </w:r>
      <w:r>
        <w:rPr>
          <w:rFonts w:hint="default" w:ascii="Times New Roman" w:hAnsi="Times New Roman" w:eastAsia="仿宋_GB2312" w:cs="Times New Roman"/>
          <w:color w:val="auto"/>
          <w:sz w:val="32"/>
          <w:szCs w:val="32"/>
          <w:lang w:val="en-US" w:eastAsia="zh-CN"/>
        </w:rPr>
        <w:t>综合交通网建设快速推进，玉磨铁路（新平段）通车；永金高速（戛洒至红光段）、乡村振兴道路建设 PPP 项目、河门口至丫勒公路改造工程等项目稳步推进；马平线（马鹿塘至平掌）开工建设，产业园区铁路专用线、易门至新平高速公路、石屏（宝秀）至新平（大开门）高速公路等项目前期工作有序推进；新平县通用机场场址完成净空障碍物等测绘工作。水网建设取得新进展，完成漠沙灌区节水配套改造等项目；“西水东调”引水工程一期水源连通工程、洋发城水库扩建、挖窖河河道治理工程等项目顺利推进；新平农村饮水安全保障提升工程开工建设，“西水东调”二期水源连通工程、十里河水库、白沙河水库、阿者河水库、洋芋山水库前期工作稳步实施。</w:t>
      </w:r>
      <w:r>
        <w:rPr>
          <w:rFonts w:hint="default" w:ascii="Times New Roman" w:hAnsi="Times New Roman" w:eastAsia="仿宋_GB2312" w:cs="Times New Roman"/>
          <w:color w:val="auto"/>
          <w:sz w:val="32"/>
          <w:szCs w:val="32"/>
          <w:highlight w:val="none"/>
        </w:rPr>
        <w:t>能源网建设不断完善，</w:t>
      </w:r>
      <w:r>
        <w:rPr>
          <w:rFonts w:hint="default" w:ascii="Times New Roman" w:hAnsi="Times New Roman" w:eastAsia="仿宋" w:cs="Times New Roman"/>
          <w:color w:val="auto"/>
          <w:sz w:val="32"/>
          <w:szCs w:val="32"/>
          <w:lang w:val="en-US" w:eastAsia="zh-CN"/>
        </w:rPr>
        <w:t>110千伏桂山变、堵岭变增容工程和35千伏新化变扩建工程竣工投产，</w:t>
      </w:r>
      <w:r>
        <w:rPr>
          <w:rFonts w:hint="eastAsia" w:ascii="仿宋" w:hAnsi="仿宋" w:eastAsia="仿宋" w:cs="仿宋"/>
          <w:color w:val="auto"/>
          <w:sz w:val="32"/>
          <w:szCs w:val="32"/>
          <w:lang w:val="en-US" w:eastAsia="zh-CN"/>
        </w:rPr>
        <w:t>加强农网改造升级工程建设，供电能力显著提升</w:t>
      </w:r>
      <w:r>
        <w:rPr>
          <w:rFonts w:hint="default" w:ascii="Times New Roman" w:hAnsi="Times New Roman" w:eastAsia="仿宋" w:cs="Times New Roman"/>
          <w:color w:val="auto"/>
          <w:sz w:val="32"/>
          <w:szCs w:val="32"/>
          <w:lang w:val="en-US" w:eastAsia="zh-CN"/>
        </w:rPr>
        <w:t>；完成10个乡镇（街道）充电桩基础设施建设，实现充电桩基础设施“乡乡通”；</w:t>
      </w:r>
      <w:r>
        <w:rPr>
          <w:rFonts w:hint="default" w:ascii="Times New Roman" w:hAnsi="Times New Roman" w:eastAsia="仿宋_GB2312" w:cs="Times New Roman"/>
          <w:color w:val="auto"/>
          <w:sz w:val="32"/>
          <w:szCs w:val="32"/>
          <w:lang w:val="en-US" w:eastAsia="zh-CN"/>
        </w:rPr>
        <w:t>公种田、双河村光伏电站顺利开工。互联网建设步伐加快，完成4G基站建设82座，完成5G基站建设127座。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（六）城镇面貌焕然一新。</w:t>
      </w:r>
      <w:r>
        <w:rPr>
          <w:rFonts w:hint="default" w:ascii="Times New Roman" w:hAnsi="Times New Roman" w:eastAsia="仿宋_GB2312" w:cs="Times New Roman"/>
          <w:color w:val="auto"/>
          <w:sz w:val="32"/>
          <w:szCs w:val="32"/>
          <w:lang w:val="en-US" w:eastAsia="zh-CN"/>
        </w:rPr>
        <w:t>美丽县城持续推进，新平三中、新平二幼、新平三幼、体育森林公园、新平大道改扩建等12个项目投入使用；县人民医院综合楼改扩建、县城东入城口绿化提升改造、西园路改造等11个项目稳步推进，累计完成投资24.86亿元。特色小镇持续推进，完成戛洒外滩豪生酒店（二期）、党群服务中心、花腰田间等9个重点项目，累计投资8.53亿元。持续推进戛洒滨江大道、两污处理厂、欢乐水世界等项目建设。城市精细化管理全面展开，引进玉溪高漠生态环境科技有限公司，实现城市生活垃圾分类和园林环卫综合服务一体化管理；巩固提升国家卫生县城创建成果，高标准推进爱国卫生“7个专项行动”，园林城市品位不断提升；城市燃气管网项目持续推进，县城污水处理厂改扩建、再生水回用及配套管网工程等5个项目前期工作有序推进。预计完成建筑业增加值23.1亿元，同比增长11.6%。</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（七）改革事业齐头并进。</w:t>
      </w:r>
      <w:r>
        <w:rPr>
          <w:rFonts w:hint="default" w:ascii="Times New Roman" w:hAnsi="Times New Roman" w:eastAsia="仿宋_GB2312" w:cs="Times New Roman"/>
          <w:color w:val="auto"/>
          <w:sz w:val="32"/>
          <w:szCs w:val="32"/>
          <w:lang w:val="en-US" w:eastAsia="zh-CN"/>
        </w:rPr>
        <w:t>“证照分离”改革稳步推进，共办理享受“证照分离”企业214户。投资项目审批“一窗受理”改革成效明显，完成</w:t>
      </w:r>
      <w:r>
        <w:rPr>
          <w:rFonts w:hint="eastAsia" w:ascii="Times New Roman" w:hAnsi="Times New Roman" w:eastAsia="仿宋_GB2312" w:cs="Times New Roman"/>
          <w:color w:val="auto"/>
          <w:sz w:val="32"/>
          <w:szCs w:val="32"/>
          <w:lang w:val="en-US" w:eastAsia="zh-CN"/>
        </w:rPr>
        <w:t>349</w:t>
      </w:r>
      <w:r>
        <w:rPr>
          <w:rFonts w:hint="default" w:ascii="Times New Roman" w:hAnsi="Times New Roman" w:eastAsia="仿宋_GB2312" w:cs="Times New Roman"/>
          <w:color w:val="auto"/>
          <w:sz w:val="32"/>
          <w:szCs w:val="32"/>
          <w:lang w:val="en-US" w:eastAsia="zh-CN"/>
        </w:rPr>
        <w:t>个投资项目</w:t>
      </w:r>
      <w:r>
        <w:rPr>
          <w:rFonts w:hint="eastAsia" w:ascii="Times New Roman" w:hAnsi="Times New Roman" w:eastAsia="仿宋_GB2312" w:cs="Times New Roman"/>
          <w:color w:val="auto"/>
          <w:sz w:val="32"/>
          <w:szCs w:val="32"/>
          <w:lang w:val="en-US" w:eastAsia="zh-CN"/>
        </w:rPr>
        <w:t>立项</w:t>
      </w:r>
      <w:r>
        <w:rPr>
          <w:rFonts w:hint="default" w:ascii="Times New Roman" w:hAnsi="Times New Roman" w:eastAsia="仿宋_GB2312" w:cs="Times New Roman"/>
          <w:color w:val="auto"/>
          <w:sz w:val="32"/>
          <w:szCs w:val="32"/>
          <w:lang w:val="en-US" w:eastAsia="zh-CN"/>
        </w:rPr>
        <w:t>服务。戛洒镇经济发达镇行政管理体制改革圆满结束，进一步优化县、镇财政占比平衡点，充分调动乡镇发展经济、理财治税的积极性；积极探索综合执法新模式，初步完成组建戛洒镇综合执法队；戛洒政务大厅正式为群众、企业提供服务，实现9个县级行政主管部门136项事项权限下放。农村改革持续深化，新增土地流转面积1.15万亩，全县累计流转20.45万亩。稳妥推进农村土地“三权”分置工作，办理首笔“地押云贷”流动资金贷款92.8万元。水价改革成效明显，完成县城区供排水价格调整，新化依施河灌区农业水价综合改革试点加快推进，实施2.9万亩农业水价综合改革；县域紧密型医共体改革纵深推进，实现总医院资源融合、学科一体、同质管理、中西医并重、共建共享。教育综合改革成效明显，实现城区小学教育集团化办学、乡镇学校九年一贯制管理等改革任务。财政体制改革持续推进，推进分行业分领域、部门整体预算绩效指标体系建设，建立财政电子票据一体化管理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（八）脱贫攻坚成果巩固拓展。</w:t>
      </w:r>
      <w:r>
        <w:rPr>
          <w:rFonts w:hint="default" w:ascii="Times New Roman" w:hAnsi="Times New Roman" w:eastAsia="仿宋_GB2312" w:cs="Times New Roman"/>
          <w:color w:val="auto"/>
          <w:sz w:val="32"/>
          <w:szCs w:val="32"/>
          <w:lang w:val="en-US" w:eastAsia="zh-CN"/>
        </w:rPr>
        <w:t>财政衔接资金投入不断加大，全县共落实中央、省、市、县衔接资金6246.3万元，其中：中央和省级财政衔接资金5666万元，比上年增长152.2%，超过“十三五”总数的一半，市级衔接资金80.3万元，县级配套资金500万元。整合脱贫攻坚工作队和乡村振兴工作队两支队伍，选派驻村第一书记和工作队员110名，“点对点”驻村指导开展工作。持续推进社会帮扶。累计认定扶贫龙头企业4个、扶贫车间8个和扶贫产品3个；依托消费扶贫专柜专区及定点帮扶单位累计销售45.1万元，受益帮扶对象872人次。产业扶贫资金投入不断加大，共安排衔接乡村振兴补助资金共计6246.3万元，其中，产业发展资金3966万元，比上年增长168.1%。“两不愁三保障”和饮水安全保障全面巩固提升，“一平台三机制”稳步推进，易地搬迁后续帮扶力度持续加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（九）生态建设成效显著。</w:t>
      </w:r>
      <w:r>
        <w:rPr>
          <w:rFonts w:hint="default" w:ascii="Times New Roman" w:hAnsi="Times New Roman" w:eastAsia="仿宋_GB2312" w:cs="Times New Roman"/>
          <w:color w:val="auto"/>
          <w:sz w:val="32"/>
          <w:szCs w:val="32"/>
          <w:lang w:val="en-US" w:eastAsia="zh-CN"/>
        </w:rPr>
        <w:t>坚决遏制“两高”项目盲目发展，推进能耗“双控”工作。中央和省环保督察检查反馈问题整改工作扎实有效，完成省联合执法检查反馈问题整改工作，整改企业数53家，整改率89.8%；完成整改问题数136个，整改率94.4%。蓝天、碧水、净土三大保卫战和七个标志性战役不断巩固，完成仙福公司3座转炉、2座高炉和1条烧结生产线的拆除工作，县城环境空气质量优良率为99.7%；完成光山河水库等四个“千吨万人”饮用水水源地规范化建设，县城集中式饮用水源地水质达标率为100%；开展土壤污染源管控行动，调查完成率为70%。生态绿色屏障不断巩固，“绿盾2021”专项行动全面展开，推荐联合国《生物多样性公约》第十五次缔约方大会4个点位。污染减排工作成效明显，全县钢铁企业烧结机投运率100%，综合脱硫效率96%以上。河长制、林长制责任全面落实，天然林资源保护二期工程过渡期森林管护、森林和草原防灭火等工作稳步推进，全县森林覆盖率达73.6%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（十）民生保障更加坚实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社会保障持续增强。</w:t>
      </w:r>
      <w:r>
        <w:rPr>
          <w:rFonts w:hint="default" w:ascii="Times New Roman" w:hAnsi="Times New Roman" w:eastAsia="仿宋_GB2312" w:cs="Times New Roman"/>
          <w:color w:val="auto"/>
          <w:sz w:val="32"/>
          <w:szCs w:val="32"/>
          <w:lang w:val="en-US" w:eastAsia="zh-CN"/>
        </w:rPr>
        <w:t>疫情防控纵深推进，健全完善疫情防控方案预案，全面加强疫情防控指挥体系建设；建立人群免疫屏障，加强新冠病毒疫苗接种工作，截至12月底，累计完成接种505532剂次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债务风险得到有效遏制，全年化解地方政府债务</w:t>
      </w:r>
      <w:r>
        <w:rPr>
          <w:rFonts w:hint="eastAsia" w:ascii="Times New Roman" w:hAnsi="Times New Roman" w:eastAsia="仿宋_GB2312" w:cs="Times New Roman"/>
          <w:color w:val="auto"/>
          <w:sz w:val="32"/>
          <w:szCs w:val="32"/>
          <w:lang w:val="en-US" w:eastAsia="zh-CN"/>
        </w:rPr>
        <w:t>0.33</w:t>
      </w:r>
      <w:r>
        <w:rPr>
          <w:rFonts w:hint="default" w:ascii="Times New Roman" w:hAnsi="Times New Roman" w:eastAsia="仿宋_GB2312" w:cs="Times New Roman"/>
          <w:color w:val="auto"/>
          <w:sz w:val="32"/>
          <w:szCs w:val="32"/>
          <w:lang w:val="en-US" w:eastAsia="zh-CN"/>
        </w:rPr>
        <w:t>亿元、隐性债务</w:t>
      </w:r>
      <w:r>
        <w:rPr>
          <w:rFonts w:hint="eastAsia" w:ascii="Times New Roman" w:hAnsi="Times New Roman" w:eastAsia="仿宋_GB2312" w:cs="Times New Roman"/>
          <w:color w:val="auto"/>
          <w:sz w:val="32"/>
          <w:szCs w:val="32"/>
          <w:lang w:val="en-US" w:eastAsia="zh-CN"/>
        </w:rPr>
        <w:t>2.63</w:t>
      </w:r>
      <w:r>
        <w:rPr>
          <w:rFonts w:hint="default" w:ascii="Times New Roman" w:hAnsi="Times New Roman" w:eastAsia="仿宋_GB2312" w:cs="Times New Roman"/>
          <w:color w:val="auto"/>
          <w:sz w:val="32"/>
          <w:szCs w:val="32"/>
          <w:lang w:val="en-US" w:eastAsia="zh-CN"/>
        </w:rPr>
        <w:t>亿元。就业形势保持稳定，城镇新增就业3270人，完成市级目标的109%，城镇登记失业率控制在3.29%，农村劳动力转移就业95479人、转移率111.02%；社保、医保覆盖面总体稳定，城镇职工参加基本养老保险人数3</w:t>
      </w:r>
      <w:r>
        <w:rPr>
          <w:rFonts w:hint="eastAsia" w:ascii="Times New Roman" w:hAnsi="Times New Roman" w:eastAsia="仿宋_GB2312" w:cs="Times New Roman"/>
          <w:color w:val="auto"/>
          <w:sz w:val="32"/>
          <w:szCs w:val="32"/>
          <w:lang w:val="en-US" w:eastAsia="zh-CN"/>
        </w:rPr>
        <w:t>6048</w:t>
      </w:r>
      <w:r>
        <w:rPr>
          <w:rFonts w:hint="default" w:ascii="Times New Roman" w:hAnsi="Times New Roman" w:eastAsia="仿宋_GB2312" w:cs="Times New Roman"/>
          <w:color w:val="auto"/>
          <w:sz w:val="32"/>
          <w:szCs w:val="32"/>
          <w:lang w:val="en-US" w:eastAsia="zh-CN"/>
        </w:rPr>
        <w:t>人，完成计划目标的</w:t>
      </w:r>
      <w:r>
        <w:rPr>
          <w:rFonts w:hint="eastAsia" w:ascii="Times New Roman" w:hAnsi="Times New Roman" w:eastAsia="仿宋_GB2312" w:cs="Times New Roman"/>
          <w:color w:val="auto"/>
          <w:sz w:val="32"/>
          <w:szCs w:val="32"/>
          <w:lang w:val="en-US" w:eastAsia="zh-CN"/>
        </w:rPr>
        <w:t>106.6</w:t>
      </w:r>
      <w:r>
        <w:rPr>
          <w:rFonts w:hint="default" w:ascii="Times New Roman" w:hAnsi="Times New Roman" w:eastAsia="仿宋_GB2312" w:cs="Times New Roman"/>
          <w:color w:val="auto"/>
          <w:sz w:val="32"/>
          <w:szCs w:val="32"/>
          <w:lang w:val="en-US" w:eastAsia="zh-CN"/>
        </w:rPr>
        <w:t>%；城乡居民基本养老保险人数176197人，完成计划目标的100.28%；城镇职工基本医疗保险人数267</w:t>
      </w:r>
      <w:r>
        <w:rPr>
          <w:rFonts w:hint="eastAsia" w:ascii="Times New Roman" w:hAnsi="Times New Roman" w:eastAsia="仿宋_GB2312" w:cs="Times New Roman"/>
          <w:color w:val="auto"/>
          <w:sz w:val="32"/>
          <w:szCs w:val="32"/>
          <w:lang w:val="en-US" w:eastAsia="zh-CN"/>
        </w:rPr>
        <w:t>96</w:t>
      </w:r>
      <w:r>
        <w:rPr>
          <w:rFonts w:hint="default" w:ascii="Times New Roman" w:hAnsi="Times New Roman" w:eastAsia="仿宋_GB2312" w:cs="Times New Roman"/>
          <w:color w:val="auto"/>
          <w:sz w:val="32"/>
          <w:szCs w:val="32"/>
          <w:lang w:val="en-US" w:eastAsia="zh-CN"/>
        </w:rPr>
        <w:t>人，完成计划目标的104.</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城乡居民参加基本医疗保险人数248276人，完成计划目标的99.5%。民政兜底保障有力，累计发放城乡低保、特困供养临时救助资金5305万元；发放残疾人“两项补贴”10620人次759.93万元。养老服务体系建设加快推进，老年养护院主体工程已完工验收，正在进行室外工程建设；完成资联养护中心改造并备案运营；9所农村敬老院向社会开放接纳经济困难老年人；1所县级失能照护机构改造和29户特殊困难老年人居家适老化改造正加快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社会事业繁荣进步。</w:t>
      </w:r>
      <w:r>
        <w:rPr>
          <w:rFonts w:hint="default" w:ascii="Times New Roman" w:hAnsi="Times New Roman" w:eastAsia="仿宋_GB2312" w:cs="Times New Roman"/>
          <w:color w:val="auto"/>
          <w:sz w:val="32"/>
          <w:szCs w:val="32"/>
        </w:rPr>
        <w:t>教育事业全面发展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学前三年毛入园率</w:t>
      </w:r>
      <w:r>
        <w:rPr>
          <w:rFonts w:hint="default" w:ascii="Times New Roman" w:hAnsi="Times New Roman" w:eastAsia="仿宋_GB2312" w:cs="Times New Roman"/>
          <w:color w:val="auto"/>
          <w:sz w:val="32"/>
          <w:szCs w:val="32"/>
          <w:lang w:val="en-US" w:eastAsia="zh-CN"/>
        </w:rPr>
        <w:t>达</w:t>
      </w:r>
      <w:r>
        <w:rPr>
          <w:rFonts w:hint="default" w:ascii="Times New Roman" w:hAnsi="Times New Roman" w:eastAsia="仿宋_GB2312" w:cs="Times New Roman"/>
          <w:color w:val="auto"/>
          <w:sz w:val="32"/>
          <w:szCs w:val="32"/>
        </w:rPr>
        <w:t>85.3%，九年义务教育巩固率达97.7%，高中阶段毛入学率达95.9%；教育资源持续优化，新平一中恢复初中招生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开办</w:t>
      </w:r>
      <w:r>
        <w:rPr>
          <w:rFonts w:hint="default" w:ascii="Times New Roman" w:hAnsi="Times New Roman" w:eastAsia="仿宋_GB2312" w:cs="Times New Roman"/>
          <w:color w:val="auto"/>
          <w:sz w:val="32"/>
          <w:szCs w:val="32"/>
          <w:lang w:val="en-US" w:eastAsia="zh-CN"/>
        </w:rPr>
        <w:t>全市首个</w:t>
      </w:r>
      <w:r>
        <w:rPr>
          <w:rFonts w:hint="default" w:ascii="Times New Roman" w:hAnsi="Times New Roman" w:eastAsia="仿宋_GB2312" w:cs="Times New Roman"/>
          <w:color w:val="auto"/>
          <w:sz w:val="32"/>
          <w:szCs w:val="32"/>
        </w:rPr>
        <w:t>未成年人专门学校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红星中学</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新平</w:t>
      </w:r>
      <w:r>
        <w:rPr>
          <w:rFonts w:hint="default" w:ascii="Times New Roman" w:hAnsi="Times New Roman" w:eastAsia="仿宋_GB2312" w:cs="Times New Roman"/>
          <w:color w:val="auto"/>
          <w:sz w:val="32"/>
          <w:szCs w:val="32"/>
        </w:rPr>
        <w:t>一中扩建一二期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新平</w:t>
      </w:r>
      <w:r>
        <w:rPr>
          <w:rFonts w:hint="default" w:ascii="Times New Roman" w:hAnsi="Times New Roman" w:eastAsia="仿宋_GB2312" w:cs="Times New Roman"/>
          <w:color w:val="auto"/>
          <w:sz w:val="32"/>
          <w:szCs w:val="32"/>
        </w:rPr>
        <w:t>三幼</w:t>
      </w:r>
      <w:r>
        <w:rPr>
          <w:rFonts w:hint="default" w:ascii="Times New Roman" w:hAnsi="Times New Roman" w:eastAsia="仿宋_GB2312" w:cs="Times New Roman"/>
          <w:color w:val="auto"/>
          <w:sz w:val="32"/>
          <w:szCs w:val="32"/>
          <w:lang w:val="en-US" w:eastAsia="zh-CN"/>
        </w:rPr>
        <w:t>建成</w:t>
      </w:r>
      <w:r>
        <w:rPr>
          <w:rFonts w:hint="default" w:ascii="Times New Roman" w:hAnsi="Times New Roman" w:eastAsia="仿宋_GB2312" w:cs="Times New Roman"/>
          <w:color w:val="auto"/>
          <w:sz w:val="32"/>
          <w:szCs w:val="32"/>
        </w:rPr>
        <w:t>投入使用；</w:t>
      </w:r>
      <w:r>
        <w:rPr>
          <w:rFonts w:hint="default" w:ascii="Times New Roman" w:hAnsi="Times New Roman" w:eastAsia="仿宋_GB2312" w:cs="Times New Roman"/>
          <w:color w:val="auto"/>
          <w:sz w:val="32"/>
          <w:szCs w:val="32"/>
          <w:lang w:val="en-US" w:eastAsia="zh-CN"/>
        </w:rPr>
        <w:t>新平</w:t>
      </w:r>
      <w:r>
        <w:rPr>
          <w:rFonts w:hint="default" w:ascii="Times New Roman" w:hAnsi="Times New Roman" w:eastAsia="仿宋_GB2312" w:cs="Times New Roman"/>
          <w:color w:val="auto"/>
          <w:sz w:val="32"/>
          <w:szCs w:val="32"/>
        </w:rPr>
        <w:t>三中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戛洒一中扩建一期</w:t>
      </w:r>
      <w:r>
        <w:rPr>
          <w:rFonts w:hint="default" w:ascii="Times New Roman" w:hAnsi="Times New Roman" w:eastAsia="仿宋_GB2312" w:cs="Times New Roman"/>
          <w:color w:val="auto"/>
          <w:sz w:val="32"/>
          <w:szCs w:val="32"/>
          <w:lang w:val="en-US" w:eastAsia="zh-CN"/>
        </w:rPr>
        <w:t>等项目稳步推进。</w:t>
      </w:r>
      <w:r>
        <w:rPr>
          <w:rFonts w:hint="default" w:ascii="Times New Roman" w:hAnsi="Times New Roman" w:eastAsia="仿宋_GB2312" w:cs="Times New Roman"/>
          <w:color w:val="auto"/>
          <w:sz w:val="32"/>
          <w:szCs w:val="32"/>
        </w:rPr>
        <w:t>就医条件不断改善</w:t>
      </w:r>
      <w:r>
        <w:rPr>
          <w:rFonts w:hint="default" w:ascii="Times New Roman" w:hAnsi="Times New Roman" w:eastAsia="仿宋_GB2312" w:cs="Times New Roman"/>
          <w:color w:val="auto"/>
          <w:sz w:val="32"/>
          <w:szCs w:val="32"/>
          <w:lang w:eastAsia="zh-CN"/>
        </w:rPr>
        <w:t>，县人民医院综合楼</w:t>
      </w:r>
      <w:r>
        <w:rPr>
          <w:rFonts w:hint="default" w:ascii="Times New Roman" w:hAnsi="Times New Roman" w:eastAsia="仿宋_GB2312" w:cs="Times New Roman"/>
          <w:color w:val="auto"/>
          <w:sz w:val="32"/>
          <w:szCs w:val="32"/>
          <w:lang w:val="en-US" w:eastAsia="zh-CN"/>
        </w:rPr>
        <w:t>主体完工，县人民医院门诊医技楼建设等项目前期工作扎实推进。科技创新成效明显，新培育认定国家高新技术企业2户，认定国家科技型中小企业10户，认定省科技型中小企业13户。建成玉溪大红山矿业有限公司余永富院士工作站等4个院士专家工作站；与昆明理工大学、云南大学农学院等高校签订产学研合作协议8个。</w:t>
      </w:r>
      <w:r>
        <w:rPr>
          <w:rFonts w:hint="default" w:ascii="Times New Roman" w:hAnsi="Times New Roman" w:eastAsia="仿宋_GB2312" w:cs="Times New Roman"/>
          <w:color w:val="auto"/>
          <w:sz w:val="32"/>
          <w:szCs w:val="32"/>
        </w:rPr>
        <w:t>高度重视民族宗教、社会治安、禁毒防艾、安全生产、食品药品安全和应急管理工作，平安新平建设成效显著，社会保持和谐稳定。文化、体育、统计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武装、</w:t>
      </w:r>
      <w:r>
        <w:rPr>
          <w:rFonts w:hint="default" w:ascii="Times New Roman" w:hAnsi="Times New Roman" w:eastAsia="仿宋_GB2312" w:cs="Times New Roman"/>
          <w:color w:val="auto"/>
          <w:sz w:val="32"/>
          <w:szCs w:val="32"/>
          <w:lang w:val="en-US" w:eastAsia="zh-CN"/>
        </w:rPr>
        <w:t>双拥、</w:t>
      </w:r>
      <w:r>
        <w:rPr>
          <w:rFonts w:hint="default" w:ascii="Times New Roman" w:hAnsi="Times New Roman" w:eastAsia="仿宋_GB2312" w:cs="Times New Roman"/>
          <w:color w:val="auto"/>
          <w:sz w:val="32"/>
          <w:szCs w:val="32"/>
        </w:rPr>
        <w:t>气象、保密、人防、残联、老龄、档案、地方志、共青团、工商联、</w:t>
      </w:r>
      <w:r>
        <w:rPr>
          <w:rFonts w:hint="default" w:ascii="Times New Roman" w:hAnsi="Times New Roman" w:eastAsia="仿宋_GB2312" w:cs="Times New Roman"/>
          <w:color w:val="auto"/>
          <w:sz w:val="32"/>
          <w:szCs w:val="32"/>
          <w:lang w:val="en-US" w:eastAsia="zh-CN"/>
        </w:rPr>
        <w:t>外事侨务、</w:t>
      </w:r>
      <w:r>
        <w:rPr>
          <w:rFonts w:hint="default" w:ascii="Times New Roman" w:hAnsi="Times New Roman" w:eastAsia="仿宋_GB2312" w:cs="Times New Roman"/>
          <w:color w:val="auto"/>
          <w:sz w:val="32"/>
          <w:szCs w:val="32"/>
        </w:rPr>
        <w:t>防震减灾、妇女儿童、红十字会、</w:t>
      </w:r>
      <w:r>
        <w:rPr>
          <w:rFonts w:hint="default" w:ascii="Times New Roman" w:hAnsi="Times New Roman" w:eastAsia="仿宋_GB2312" w:cs="Times New Roman"/>
          <w:color w:val="auto"/>
          <w:sz w:val="32"/>
          <w:szCs w:val="32"/>
          <w:lang w:val="en-US" w:eastAsia="zh-CN"/>
        </w:rPr>
        <w:t>物资储备、</w:t>
      </w:r>
      <w:r>
        <w:rPr>
          <w:rFonts w:hint="default" w:ascii="Times New Roman" w:hAnsi="Times New Roman" w:eastAsia="仿宋_GB2312" w:cs="Times New Roman"/>
          <w:color w:val="auto"/>
          <w:sz w:val="32"/>
          <w:szCs w:val="32"/>
        </w:rPr>
        <w:t>水库移民等工作取得新进步。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在肯定成绩的同时，我们也要清醒地认识到，当前我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经济社会发展仍面临不少困难和问题：一是经济发展</w:t>
      </w:r>
      <w:r>
        <w:rPr>
          <w:rFonts w:hint="default" w:ascii="Times New Roman" w:hAnsi="Times New Roman" w:eastAsia="仿宋_GB2312" w:cs="Times New Roman"/>
          <w:color w:val="auto"/>
          <w:sz w:val="32"/>
          <w:szCs w:val="32"/>
          <w:lang w:val="en-US" w:eastAsia="zh-CN"/>
        </w:rPr>
        <w:t>面临需求收缩、供给冲击、预期转弱的三重压力，</w:t>
      </w:r>
      <w:r>
        <w:rPr>
          <w:rFonts w:hint="default" w:ascii="Times New Roman" w:hAnsi="Times New Roman" w:eastAsia="仿宋_GB2312" w:cs="Times New Roman"/>
          <w:color w:val="auto"/>
          <w:sz w:val="32"/>
          <w:szCs w:val="32"/>
        </w:rPr>
        <w:t>社会投资信心不足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经济下行压力持续加大；</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是工业产业结构不优、转型不快、质量不高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加之受土地、林地、能耗、资金等要素保障制约，产业转型升级项目推进慢，</w:t>
      </w:r>
      <w:r>
        <w:rPr>
          <w:rFonts w:hint="default" w:ascii="Times New Roman" w:hAnsi="Times New Roman" w:eastAsia="仿宋_GB2312" w:cs="Times New Roman"/>
          <w:color w:val="auto"/>
          <w:sz w:val="32"/>
          <w:szCs w:val="32"/>
        </w:rPr>
        <w:t>产业转型升级步伐不快。</w:t>
      </w:r>
      <w:r>
        <w:rPr>
          <w:rFonts w:hint="default" w:ascii="Times New Roman" w:hAnsi="Times New Roman" w:eastAsia="仿宋_GB2312" w:cs="Times New Roman"/>
          <w:color w:val="auto"/>
          <w:sz w:val="32"/>
          <w:szCs w:val="32"/>
          <w:lang w:val="en-US" w:eastAsia="zh-CN"/>
        </w:rPr>
        <w:t>三是</w:t>
      </w:r>
      <w:r>
        <w:rPr>
          <w:rFonts w:hint="default" w:ascii="Times New Roman" w:hAnsi="Times New Roman" w:eastAsia="仿宋_GB2312" w:cs="Times New Roman"/>
          <w:color w:val="auto"/>
          <w:sz w:val="32"/>
          <w:szCs w:val="32"/>
        </w:rPr>
        <w:t>农业产业规模化、品牌化建设不足，</w:t>
      </w:r>
      <w:r>
        <w:rPr>
          <w:rFonts w:hint="default" w:ascii="Times New Roman" w:hAnsi="Times New Roman" w:eastAsia="仿宋_GB2312" w:cs="Times New Roman"/>
          <w:color w:val="auto"/>
          <w:sz w:val="32"/>
          <w:szCs w:val="32"/>
          <w:lang w:val="en-US" w:eastAsia="zh-CN"/>
        </w:rPr>
        <w:t>农业产业链短，农产品初加工能力配置不完善，精深加工能力薄弱，</w:t>
      </w:r>
      <w:r>
        <w:rPr>
          <w:rFonts w:hint="default" w:ascii="Times New Roman" w:hAnsi="Times New Roman" w:eastAsia="仿宋_GB2312" w:cs="Times New Roman"/>
          <w:color w:val="auto"/>
          <w:sz w:val="32"/>
          <w:szCs w:val="32"/>
        </w:rPr>
        <w:t>一二三产融合度不高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四是</w:t>
      </w:r>
      <w:r>
        <w:rPr>
          <w:rFonts w:hint="default" w:ascii="Times New Roman" w:hAnsi="Times New Roman" w:eastAsia="仿宋_GB2312" w:cs="Times New Roman"/>
          <w:color w:val="auto"/>
          <w:sz w:val="32"/>
          <w:szCs w:val="32"/>
        </w:rPr>
        <w:t>现代服务业</w:t>
      </w:r>
      <w:r>
        <w:rPr>
          <w:rFonts w:hint="default" w:ascii="Times New Roman" w:hAnsi="Times New Roman" w:eastAsia="仿宋_GB2312" w:cs="Times New Roman"/>
          <w:color w:val="auto"/>
          <w:sz w:val="32"/>
          <w:szCs w:val="32"/>
          <w:lang w:val="en-US" w:eastAsia="zh-CN"/>
        </w:rPr>
        <w:t>市场主体</w:t>
      </w:r>
      <w:r>
        <w:rPr>
          <w:rFonts w:hint="default" w:ascii="Times New Roman" w:hAnsi="Times New Roman" w:eastAsia="仿宋_GB2312" w:cs="Times New Roman"/>
          <w:color w:val="auto"/>
          <w:sz w:val="32"/>
          <w:szCs w:val="32"/>
        </w:rPr>
        <w:t>培育滞后，实体支撑不足，</w:t>
      </w:r>
      <w:r>
        <w:rPr>
          <w:rFonts w:hint="default" w:ascii="Times New Roman" w:hAnsi="Times New Roman" w:eastAsia="仿宋_GB2312" w:cs="Times New Roman"/>
          <w:color w:val="auto"/>
          <w:sz w:val="32"/>
          <w:szCs w:val="32"/>
          <w:lang w:val="en-US" w:eastAsia="zh-CN"/>
        </w:rPr>
        <w:t>消费动力不强，</w:t>
      </w:r>
      <w:r>
        <w:rPr>
          <w:rFonts w:hint="default" w:ascii="Times New Roman" w:hAnsi="Times New Roman" w:eastAsia="仿宋_GB2312" w:cs="Times New Roman"/>
          <w:color w:val="auto"/>
          <w:sz w:val="32"/>
          <w:szCs w:val="32"/>
        </w:rPr>
        <w:t>与全域旅游示范县建设不相协调。</w:t>
      </w:r>
      <w:r>
        <w:rPr>
          <w:rFonts w:hint="default" w:ascii="Times New Roman" w:hAnsi="Times New Roman" w:eastAsia="仿宋_GB2312" w:cs="Times New Roman"/>
          <w:color w:val="auto"/>
          <w:sz w:val="32"/>
          <w:szCs w:val="32"/>
          <w:lang w:val="en-US" w:eastAsia="zh-CN"/>
        </w:rPr>
        <w:t>五是财源培植滞后</w:t>
      </w:r>
      <w:r>
        <w:rPr>
          <w:rFonts w:hint="default" w:ascii="Times New Roman" w:hAnsi="Times New Roman" w:eastAsia="仿宋_GB2312" w:cs="Times New Roman"/>
          <w:color w:val="auto"/>
          <w:sz w:val="32"/>
          <w:szCs w:val="32"/>
        </w:rPr>
        <w:t>，税收收入下降，财政收支矛盾突出，</w:t>
      </w:r>
      <w:r>
        <w:rPr>
          <w:rFonts w:hint="default" w:ascii="Times New Roman" w:hAnsi="Times New Roman" w:eastAsia="仿宋_GB2312" w:cs="Times New Roman"/>
          <w:color w:val="auto"/>
          <w:sz w:val="32"/>
          <w:szCs w:val="32"/>
          <w:lang w:val="en-US" w:eastAsia="zh-CN"/>
        </w:rPr>
        <w:t>产业</w:t>
      </w:r>
      <w:r>
        <w:rPr>
          <w:rFonts w:hint="default" w:ascii="Times New Roman" w:hAnsi="Times New Roman" w:eastAsia="仿宋_GB2312" w:cs="Times New Roman"/>
          <w:color w:val="auto"/>
          <w:sz w:val="32"/>
          <w:szCs w:val="32"/>
        </w:rPr>
        <w:t>投资</w:t>
      </w:r>
      <w:r>
        <w:rPr>
          <w:rFonts w:hint="default" w:ascii="Times New Roman" w:hAnsi="Times New Roman" w:eastAsia="仿宋_GB2312" w:cs="Times New Roman"/>
          <w:color w:val="auto"/>
          <w:sz w:val="32"/>
          <w:szCs w:val="32"/>
          <w:lang w:val="en-US" w:eastAsia="zh-CN"/>
        </w:rPr>
        <w:t>动力</w:t>
      </w:r>
      <w:r>
        <w:rPr>
          <w:rFonts w:hint="eastAsia" w:ascii="Times New Roman" w:hAnsi="Times New Roman" w:eastAsia="仿宋_GB2312" w:cs="Times New Roman"/>
          <w:color w:val="auto"/>
          <w:sz w:val="32"/>
          <w:szCs w:val="32"/>
          <w:lang w:val="en-US" w:eastAsia="zh-CN"/>
        </w:rPr>
        <w:t>和后劲</w:t>
      </w:r>
      <w:r>
        <w:rPr>
          <w:rFonts w:hint="default" w:ascii="Times New Roman" w:hAnsi="Times New Roman" w:eastAsia="仿宋_GB2312" w:cs="Times New Roman"/>
          <w:color w:val="auto"/>
          <w:sz w:val="32"/>
          <w:szCs w:val="32"/>
        </w:rPr>
        <w:t>不足。这些困难和问题，我们将理性思考，全面把握，科学应对，主动作为，并在今后的工作中切实采取有效措施加以解决。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、202</w:t>
      </w:r>
      <w:r>
        <w:rPr>
          <w:rFonts w:hint="default"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rPr>
        <w:t>年经济社会发展的目标和主要任务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按照县委</w:t>
      </w:r>
      <w:r>
        <w:rPr>
          <w:rFonts w:hint="eastAsia" w:ascii="Times New Roman" w:hAnsi="Times New Roman" w:eastAsia="仿宋_GB2312" w:cs="Times New Roman"/>
          <w:b/>
          <w:bCs/>
          <w:color w:val="auto"/>
          <w:sz w:val="32"/>
          <w:szCs w:val="32"/>
          <w:lang w:eastAsia="zh-CN"/>
        </w:rPr>
        <w:t>十三</w:t>
      </w:r>
      <w:r>
        <w:rPr>
          <w:rFonts w:hint="default" w:ascii="Times New Roman" w:hAnsi="Times New Roman" w:eastAsia="仿宋_GB2312" w:cs="Times New Roman"/>
          <w:b/>
          <w:bCs/>
          <w:color w:val="auto"/>
          <w:sz w:val="32"/>
          <w:szCs w:val="32"/>
          <w:lang w:eastAsia="zh-CN"/>
        </w:rPr>
        <w:t>届</w:t>
      </w:r>
      <w:r>
        <w:rPr>
          <w:rFonts w:hint="eastAsia"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eastAsia="zh-CN"/>
        </w:rPr>
        <w:t>次全会部署，今年经济社会发展的总体思路是：以习近平新时代中国特色社会主义思想为指导，深入学习党的十九大和十九届二中、三中、四中、五中、六中全会以及省第十一次党代会、市第六次党代会精神，认真落实</w:t>
      </w:r>
      <w:r>
        <w:rPr>
          <w:rFonts w:hint="eastAsia" w:ascii="Times New Roman" w:hAnsi="Times New Roman" w:eastAsia="仿宋_GB2312" w:cs="Times New Roman"/>
          <w:b/>
          <w:bCs/>
          <w:color w:val="auto"/>
          <w:sz w:val="32"/>
          <w:szCs w:val="32"/>
          <w:lang w:eastAsia="zh-CN"/>
        </w:rPr>
        <w:t>中央、省、市经济工作会和</w:t>
      </w:r>
      <w:r>
        <w:rPr>
          <w:rFonts w:hint="default" w:ascii="Times New Roman" w:hAnsi="Times New Roman" w:eastAsia="仿宋_GB2312" w:cs="Times New Roman"/>
          <w:b/>
          <w:bCs/>
          <w:color w:val="auto"/>
          <w:sz w:val="32"/>
          <w:szCs w:val="32"/>
          <w:lang w:eastAsia="zh-CN"/>
        </w:rPr>
        <w:t>省委省政府玉溪现场办公会精神，全面贯彻党的基本理论、基本路线、基本方略，忠诚拥护“两个确立”，坚决做到“两个维护”，统筹推进“</w:t>
      </w:r>
      <w:r>
        <w:rPr>
          <w:rFonts w:hint="default" w:ascii="Times New Roman" w:hAnsi="Times New Roman" w:eastAsia="仿宋_GB2312" w:cs="Times New Roman"/>
          <w:b/>
          <w:bCs/>
          <w:color w:val="auto"/>
          <w:sz w:val="32"/>
          <w:szCs w:val="32"/>
          <w:lang w:val="en-US" w:eastAsia="zh-CN"/>
        </w:rPr>
        <w:t>五位一体</w:t>
      </w:r>
      <w:r>
        <w:rPr>
          <w:rFonts w:hint="default" w:ascii="Times New Roman" w:hAnsi="Times New Roman" w:eastAsia="仿宋_GB2312" w:cs="Times New Roman"/>
          <w:b/>
          <w:bCs/>
          <w:color w:val="auto"/>
          <w:sz w:val="32"/>
          <w:szCs w:val="32"/>
          <w:lang w:eastAsia="zh-CN"/>
        </w:rPr>
        <w:t>”总体布局，</w:t>
      </w:r>
      <w:r>
        <w:rPr>
          <w:rFonts w:hint="default" w:ascii="Times New Roman" w:hAnsi="Times New Roman" w:eastAsia="仿宋_GB2312" w:cs="Times New Roman"/>
          <w:b/>
          <w:bCs/>
          <w:color w:val="auto"/>
          <w:sz w:val="32"/>
          <w:szCs w:val="32"/>
          <w:lang w:val="en-US" w:eastAsia="zh-CN"/>
        </w:rPr>
        <w:t>围绕</w:t>
      </w:r>
      <w:r>
        <w:rPr>
          <w:rFonts w:hint="default" w:ascii="Times New Roman" w:hAnsi="Times New Roman" w:eastAsia="仿宋_GB2312" w:cs="Times New Roman"/>
          <w:b/>
          <w:bCs/>
          <w:color w:val="auto"/>
          <w:sz w:val="32"/>
          <w:szCs w:val="32"/>
          <w:lang w:eastAsia="zh-CN"/>
        </w:rPr>
        <w:t>“12345”发展思路，坚持稳中求进工作总基调，以推动新平高质量发展为主题，以深化供给侧结构性改革为主线，以改革创新为根本动力，以满足人民日益增长的美好生活需要为根本目的，立足新发展阶段，贯彻新发展理念，</w:t>
      </w:r>
      <w:r>
        <w:rPr>
          <w:rFonts w:hint="default" w:ascii="Times New Roman" w:hAnsi="Times New Roman" w:eastAsia="仿宋_GB2312" w:cs="Times New Roman"/>
          <w:b/>
          <w:bCs/>
          <w:color w:val="auto"/>
          <w:sz w:val="32"/>
          <w:szCs w:val="32"/>
          <w:lang w:val="en-US" w:eastAsia="zh-CN"/>
        </w:rPr>
        <w:t>构建新发展格局，</w:t>
      </w:r>
      <w:r>
        <w:rPr>
          <w:rFonts w:hint="eastAsia" w:ascii="Times New Roman" w:hAnsi="Times New Roman" w:eastAsia="仿宋_GB2312" w:cs="Times New Roman"/>
          <w:b/>
          <w:bCs/>
          <w:color w:val="auto"/>
          <w:sz w:val="32"/>
          <w:szCs w:val="32"/>
          <w:lang w:eastAsia="zh-CN"/>
        </w:rPr>
        <w:t>加快建设“</w:t>
      </w:r>
      <w:r>
        <w:rPr>
          <w:rFonts w:hint="eastAsia" w:ascii="Times New Roman" w:hAnsi="Times New Roman" w:eastAsia="仿宋_GB2312" w:cs="Times New Roman"/>
          <w:b/>
          <w:bCs/>
          <w:color w:val="auto"/>
          <w:sz w:val="32"/>
          <w:szCs w:val="32"/>
          <w:lang w:val="en-US" w:eastAsia="zh-CN"/>
        </w:rPr>
        <w:t>3+4</w:t>
      </w:r>
      <w:r>
        <w:rPr>
          <w:rFonts w:hint="eastAsia" w:ascii="Times New Roman" w:hAnsi="Times New Roman" w:eastAsia="仿宋_GB2312" w:cs="Times New Roman"/>
          <w:b/>
          <w:bCs/>
          <w:color w:val="auto"/>
          <w:sz w:val="32"/>
          <w:szCs w:val="32"/>
          <w:lang w:eastAsia="zh-CN"/>
        </w:rPr>
        <w:t>”现代产业体系，</w:t>
      </w:r>
      <w:r>
        <w:rPr>
          <w:rFonts w:hint="default" w:ascii="Times New Roman" w:hAnsi="Times New Roman" w:eastAsia="仿宋_GB2312" w:cs="Times New Roman"/>
          <w:b/>
          <w:bCs/>
          <w:color w:val="auto"/>
          <w:sz w:val="32"/>
          <w:szCs w:val="32"/>
          <w:lang w:eastAsia="zh-CN"/>
        </w:rPr>
        <w:t>在全省建设“民族团结进步示范区、生态文明建设排头兵、面向南亚东南亚辐射中心”和全市打造“滇中崛起增长极、乡村振兴示范区、共同富裕示范区”中奋力谱写好新平篇章。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综合考虑全县经济发展的基础，并与“十四五”规划目标相衔接，202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年国民经济和社会发展主要预期目标建议：实现生产总值同比增长</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%；规模以上固定资产投资同比增长</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%以上；规模以上工业增加值同比增长</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以上</w:t>
      </w:r>
      <w:r>
        <w:rPr>
          <w:rFonts w:hint="default" w:ascii="Times New Roman" w:hAnsi="Times New Roman" w:eastAsia="仿宋_GB2312" w:cs="Times New Roman"/>
          <w:color w:val="auto"/>
          <w:sz w:val="32"/>
          <w:szCs w:val="32"/>
        </w:rPr>
        <w:t>；一般公共预算收入同比增长</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%；社会消费品零售总额同比增长</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%；城镇居民人均可支配收入同比增长</w:t>
      </w:r>
      <w:r>
        <w:rPr>
          <w:rFonts w:hint="default" w:ascii="Times New Roman" w:hAnsi="Times New Roman" w:eastAsia="仿宋_GB2312" w:cs="Times New Roman"/>
          <w:color w:val="auto"/>
          <w:sz w:val="32"/>
          <w:szCs w:val="32"/>
          <w:lang w:val="en-US" w:eastAsia="zh-CN"/>
        </w:rPr>
        <w:t>8.5</w:t>
      </w:r>
      <w:r>
        <w:rPr>
          <w:rFonts w:hint="default" w:ascii="Times New Roman" w:hAnsi="Times New Roman" w:eastAsia="仿宋_GB2312" w:cs="Times New Roman"/>
          <w:color w:val="auto"/>
          <w:sz w:val="32"/>
          <w:szCs w:val="32"/>
        </w:rPr>
        <w:t>%；农村居民人均可支配收入同比增长</w:t>
      </w:r>
      <w:r>
        <w:rPr>
          <w:rFonts w:hint="default" w:ascii="Times New Roman" w:hAnsi="Times New Roman" w:eastAsia="仿宋_GB2312" w:cs="Times New Roman"/>
          <w:color w:val="auto"/>
          <w:sz w:val="32"/>
          <w:szCs w:val="32"/>
          <w:lang w:val="en-US" w:eastAsia="zh-CN"/>
        </w:rPr>
        <w:t>9.7</w:t>
      </w:r>
      <w:r>
        <w:rPr>
          <w:rFonts w:hint="default" w:ascii="Times New Roman" w:hAnsi="Times New Roman" w:eastAsia="仿宋_GB2312" w:cs="Times New Roman"/>
          <w:color w:val="auto"/>
          <w:sz w:val="32"/>
          <w:szCs w:val="32"/>
        </w:rPr>
        <w:t>%；引进市外国内资金同比增长</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%以上，实际利用外资</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万美元；进出口总额同比增长</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能耗强度完成市级下达的目标任务。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围绕上述目标任务，</w:t>
      </w:r>
      <w:r>
        <w:rPr>
          <w:rFonts w:hint="default" w:ascii="Times New Roman" w:hAnsi="Times New Roman" w:eastAsia="仿宋_GB2312" w:cs="Times New Roman"/>
          <w:color w:val="auto"/>
          <w:sz w:val="32"/>
          <w:szCs w:val="32"/>
          <w:lang w:val="en-US" w:eastAsia="zh-CN"/>
        </w:rPr>
        <w:t>今</w:t>
      </w:r>
      <w:r>
        <w:rPr>
          <w:rFonts w:hint="default" w:ascii="Times New Roman" w:hAnsi="Times New Roman" w:eastAsia="仿宋_GB2312" w:cs="Times New Roman"/>
          <w:color w:val="auto"/>
          <w:sz w:val="32"/>
          <w:szCs w:val="32"/>
        </w:rPr>
        <w:t>年重点抓好以下</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个方面的</w:t>
      </w:r>
      <w:r>
        <w:rPr>
          <w:rFonts w:hint="default" w:ascii="Times New Roman" w:hAnsi="Times New Roman" w:eastAsia="仿宋_GB2312" w:cs="Times New Roman"/>
          <w:color w:val="auto"/>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（一）加快产业转型升级</w:t>
      </w:r>
      <w:r>
        <w:rPr>
          <w:rFonts w:hint="eastAsia" w:ascii="Times New Roman" w:hAnsi="Times New Roman" w:eastAsia="楷体_GB2312" w:cs="Times New Roman"/>
          <w:b/>
          <w:bCs/>
          <w:color w:val="auto"/>
          <w:sz w:val="32"/>
          <w:szCs w:val="32"/>
          <w:lang w:val="en-US" w:eastAsia="zh-CN"/>
        </w:rPr>
        <w:t>步伐</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en-US" w:eastAsia="zh-CN"/>
        </w:rPr>
        <w:t>全力推动富强新平建设。</w:t>
      </w:r>
      <w:r>
        <w:rPr>
          <w:rFonts w:hint="default" w:ascii="Times New Roman" w:hAnsi="Times New Roman" w:eastAsia="仿宋_GB2312" w:cs="Times New Roman"/>
          <w:color w:val="auto"/>
          <w:sz w:val="32"/>
          <w:szCs w:val="32"/>
        </w:rPr>
        <w:t>坚持转型为纲，以产业延链、产业集群、绿色发展为基本方略，</w:t>
      </w:r>
      <w:r>
        <w:rPr>
          <w:rFonts w:hint="default" w:ascii="Times New Roman" w:hAnsi="Times New Roman" w:eastAsia="仿宋_GB2312" w:cs="Times New Roman"/>
          <w:color w:val="auto"/>
          <w:sz w:val="32"/>
          <w:szCs w:val="32"/>
          <w:lang w:val="en-US" w:eastAsia="zh-CN"/>
        </w:rPr>
        <w:t>实施工业倍增计划，提升绿色钢铁、绿色建材、绿色食品、新能源、卷烟及配套、有色稀贵金属、生物医药及医疗器械、电子信息八个制造业全产业链发展水平，</w:t>
      </w:r>
      <w:r>
        <w:rPr>
          <w:rFonts w:hint="default" w:ascii="Times New Roman" w:hAnsi="Times New Roman" w:eastAsia="仿宋_GB2312" w:cs="Times New Roman"/>
          <w:color w:val="auto"/>
          <w:sz w:val="32"/>
          <w:szCs w:val="32"/>
        </w:rPr>
        <w:t>加快构建“3+4”为重点的新平现代化产业体系，奋力开创新平转型跨越、绿色崛起新境界。</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做强矿冶产业</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val="en-US" w:eastAsia="zh-CN"/>
        </w:rPr>
        <w:t>高度重视能耗“双控”工作，</w:t>
      </w:r>
      <w:r>
        <w:rPr>
          <w:rFonts w:hint="default" w:ascii="Times New Roman" w:hAnsi="Times New Roman" w:eastAsia="仿宋_GB2312" w:cs="Times New Roman"/>
          <w:color w:val="auto"/>
          <w:sz w:val="32"/>
          <w:szCs w:val="32"/>
          <w:lang w:eastAsia="zh-CN"/>
        </w:rPr>
        <w:t>以绿色矿冶开发为抓手，</w:t>
      </w:r>
      <w:r>
        <w:rPr>
          <w:rFonts w:hint="default" w:ascii="Times New Roman" w:hAnsi="Times New Roman" w:eastAsia="仿宋_GB2312" w:cs="Times New Roman"/>
          <w:color w:val="auto"/>
          <w:sz w:val="32"/>
          <w:szCs w:val="32"/>
          <w:lang w:val="en-US" w:eastAsia="zh-CN"/>
        </w:rPr>
        <w:t>全力</w:t>
      </w:r>
      <w:r>
        <w:rPr>
          <w:rFonts w:hint="default" w:ascii="Times New Roman" w:hAnsi="Times New Roman" w:eastAsia="仿宋_GB2312" w:cs="Times New Roman"/>
          <w:color w:val="auto"/>
          <w:sz w:val="32"/>
          <w:szCs w:val="32"/>
          <w:lang w:eastAsia="zh-CN"/>
        </w:rPr>
        <w:t>打造全省重要的绿色矿冶集聚区。</w:t>
      </w:r>
      <w:r>
        <w:rPr>
          <w:rFonts w:hint="default" w:ascii="Times New Roman" w:hAnsi="Times New Roman" w:eastAsia="仿宋_GB2312" w:cs="Times New Roman"/>
          <w:color w:val="auto"/>
          <w:sz w:val="32"/>
          <w:szCs w:val="32"/>
          <w:lang w:val="en-US" w:eastAsia="zh-CN"/>
        </w:rPr>
        <w:t>启动产业园区铁路专用线，加快</w:t>
      </w:r>
      <w:r>
        <w:rPr>
          <w:rFonts w:hint="default" w:ascii="Times New Roman" w:hAnsi="Times New Roman" w:eastAsia="仿宋_GB2312" w:cs="Times New Roman"/>
          <w:color w:val="auto"/>
          <w:sz w:val="32"/>
          <w:szCs w:val="32"/>
        </w:rPr>
        <w:t>扬武片区居拉里道路及配套设施建设项目（一期）工程</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新平产业园区综合污水集中处理设施及配套管网工程</w:t>
      </w:r>
      <w:r>
        <w:rPr>
          <w:rFonts w:hint="default" w:ascii="Times New Roman" w:hAnsi="Times New Roman" w:eastAsia="仿宋_GB2312" w:cs="Times New Roman"/>
          <w:color w:val="auto"/>
          <w:sz w:val="32"/>
          <w:szCs w:val="32"/>
          <w:lang w:eastAsia="zh-CN"/>
        </w:rPr>
        <w:t>。整合提升钢铁产业，</w:t>
      </w:r>
      <w:r>
        <w:rPr>
          <w:rFonts w:hint="default" w:ascii="Times New Roman" w:hAnsi="Times New Roman" w:eastAsia="仿宋_GB2312" w:cs="Times New Roman"/>
          <w:color w:val="auto"/>
          <w:sz w:val="32"/>
          <w:szCs w:val="32"/>
          <w:lang w:val="en-US" w:eastAsia="zh-CN"/>
        </w:rPr>
        <w:t>配合企业加快推进仙福集团产能置换技改升级二期项目建设，建设120万吨配套焦化项目，启动冷轧酸洗带钢项目前期工作。稳步发展采矿产业，积极整合大红山片区和鲁奎山片区的低品位、难采选零星矿点，加快研发和运用，切实提高资源利用率，</w:t>
      </w:r>
      <w:r>
        <w:rPr>
          <w:rFonts w:hint="default" w:ascii="Times New Roman" w:hAnsi="Times New Roman" w:eastAsia="仿宋_GB2312" w:cs="Times New Roman"/>
          <w:color w:val="auto"/>
          <w:sz w:val="32"/>
          <w:szCs w:val="32"/>
          <w:lang w:eastAsia="zh-CN"/>
        </w:rPr>
        <w:t>着力推进大红山铁矿二道河矿段年产100万吨采选及智能化矿山建设，</w:t>
      </w:r>
      <w:r>
        <w:rPr>
          <w:rFonts w:hint="default" w:ascii="Times New Roman" w:hAnsi="Times New Roman" w:eastAsia="仿宋_GB2312" w:cs="Times New Roman"/>
          <w:color w:val="auto"/>
          <w:sz w:val="32"/>
          <w:szCs w:val="32"/>
          <w:lang w:val="en-US" w:eastAsia="zh-CN"/>
        </w:rPr>
        <w:t>力争</w:t>
      </w:r>
      <w:r>
        <w:rPr>
          <w:rFonts w:hint="default" w:ascii="Times New Roman" w:hAnsi="Times New Roman" w:eastAsia="仿宋_GB2312" w:cs="Times New Roman"/>
          <w:color w:val="auto"/>
          <w:sz w:val="32"/>
          <w:szCs w:val="32"/>
          <w:lang w:eastAsia="zh-CN"/>
        </w:rPr>
        <w:t>I号铜矿带深部150万t/a生产持续采矿工程（二期）项目开工建设。鼓励发展新型建材产业，提高矿山采选废渣、煤矸石、粉煤灰等资源综合利用率。</w:t>
      </w:r>
      <w:r>
        <w:rPr>
          <w:rFonts w:hint="default" w:ascii="Times New Roman" w:hAnsi="Times New Roman" w:eastAsia="仿宋_GB2312" w:cs="Times New Roman"/>
          <w:color w:val="auto"/>
          <w:sz w:val="32"/>
          <w:szCs w:val="32"/>
          <w:lang w:val="en-US" w:eastAsia="zh-CN"/>
        </w:rPr>
        <w:t>实现工业增加值81亿元，同比增长6%。</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auto"/>
          <w:sz w:val="32"/>
          <w:szCs w:val="32"/>
          <w:lang w:val="en-US" w:eastAsia="zh-CN"/>
        </w:rPr>
        <w:t>做精高原特色现代农业。</w:t>
      </w:r>
      <w:r>
        <w:rPr>
          <w:rFonts w:hint="default" w:ascii="Times New Roman" w:hAnsi="Times New Roman" w:eastAsia="仿宋_GB2312" w:cs="Times New Roman"/>
          <w:color w:val="auto"/>
          <w:sz w:val="32"/>
          <w:szCs w:val="32"/>
          <w:lang w:val="en-US" w:eastAsia="zh-CN"/>
        </w:rPr>
        <w:t>以打好“绿色食品牌”为抓手，全力打造云南高原特色现代农业示范区。健全完善以“生猪、水果、蔬菜、核桃、烤烟、甘蔗”为重点的“6+N”现代农业产业体系，高度重视粮食生产，确保产量达2亿公斤以上；高位推进70万头生猪项目，加强非洲猪瘟等重大动物疫病防控，着力提升畜牧业综合生产能力，实现畜牧业现价产值</w:t>
      </w:r>
      <w:r>
        <w:rPr>
          <w:rFonts w:hint="eastAsia" w:ascii="Times New Roman" w:hAnsi="Times New Roman" w:eastAsia="仿宋_GB2312" w:cs="Times New Roman"/>
          <w:color w:val="auto"/>
          <w:sz w:val="32"/>
          <w:szCs w:val="32"/>
          <w:lang w:val="en-US" w:eastAsia="zh-CN"/>
        </w:rPr>
        <w:t>16.5</w:t>
      </w:r>
      <w:r>
        <w:rPr>
          <w:rFonts w:hint="default" w:ascii="Times New Roman" w:hAnsi="Times New Roman" w:eastAsia="仿宋_GB2312" w:cs="Times New Roman"/>
          <w:color w:val="auto"/>
          <w:sz w:val="32"/>
          <w:szCs w:val="32"/>
          <w:lang w:val="en-US" w:eastAsia="zh-CN"/>
        </w:rPr>
        <w:t>亿元，同比增9.</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%。全面实施“一县一业”（水果）示范县建设，实现水果产值</w:t>
      </w:r>
      <w:r>
        <w:rPr>
          <w:rFonts w:hint="eastAsia" w:ascii="Times New Roman" w:hAnsi="Times New Roman" w:eastAsia="仿宋_GB2312" w:cs="Times New Roman"/>
          <w:color w:val="auto"/>
          <w:sz w:val="32"/>
          <w:szCs w:val="32"/>
          <w:lang w:val="en-US" w:eastAsia="zh-CN"/>
        </w:rPr>
        <w:t>14.47</w:t>
      </w:r>
      <w:r>
        <w:rPr>
          <w:rFonts w:hint="default" w:ascii="Times New Roman" w:hAnsi="Times New Roman" w:eastAsia="仿宋_GB2312" w:cs="Times New Roman"/>
          <w:color w:val="auto"/>
          <w:sz w:val="32"/>
          <w:szCs w:val="32"/>
          <w:lang w:val="en-US" w:eastAsia="zh-CN"/>
        </w:rPr>
        <w:t>亿元，同比增长</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主动承接市内蔬菜产能转移，实现蔬菜产值6.7亿元，同比增长10.3%。加大招商引资力度，积极发展以核桃为原料的精深加工企业，延伸核桃产业链，提升核桃产业附加值。坚持烤烟产业支柱地位不动摇，全县烤烟计划收购总量1000万公斤，烟叶交售收入突破3亿元，烟叶税突破7000万元。优化甘蔗种植区域布局，建设高标准、规范化生态种植基地，实现甘蔗产值1亿元以上。实现农业增加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42.2亿元，同比增长7.2%。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做特文化旅游现代服务业。</w:t>
      </w:r>
      <w:r>
        <w:rPr>
          <w:rFonts w:hint="default" w:ascii="Times New Roman" w:hAnsi="Times New Roman" w:eastAsia="仿宋_GB2312" w:cs="Times New Roman"/>
          <w:color w:val="auto"/>
          <w:sz w:val="32"/>
          <w:szCs w:val="32"/>
          <w:lang w:val="en-US" w:eastAsia="zh-CN"/>
        </w:rPr>
        <w:t>以打好“健康生活目的地牌”为抓手，打造中国花腰傣文化旅游目的地。优化全域旅游布局，统筹旅游资源、交通区位等优势，进一步优化“一地、两极、三区、四环、五带、六重点”的旅游总体发展格局；着力打造拳头旅游产品，积极推进哀牢山康养度假区、磨盘山基础设施项目、欢乐水世界、县城金茂酒店搬迁项目建设，启动戛洒镇花腰傣露天文化生态博物走廊建设项目和花腰傣“喊月亮”实景舞台剧项目前期工作，规划哀牢山半山酒店群，推动半山云海酒店建设。用项目支撑文旅服务产业发展，全年接待国内外游客600万人次，同比增长7.1%；实现旅游收入50亿元，同比增长6.4%。加快发展现代商贸物流业，培育发展“快递+物流”整合新业态，持续推进县城快递分拣中心融合发展和电子商务进农村示范县工作，加强与“一部手机云品荟”、京东、淘宝等平台合作，统筹数字经济、批零住餐等服务业全面发展。实现第三产业增加值119.4亿元，同比增长10.7%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做实装备制造业。</w:t>
      </w:r>
      <w:r>
        <w:rPr>
          <w:rFonts w:hint="default" w:ascii="Times New Roman" w:hAnsi="Times New Roman" w:eastAsia="仿宋_GB2312" w:cs="Times New Roman"/>
          <w:color w:val="auto"/>
          <w:sz w:val="32"/>
          <w:szCs w:val="32"/>
          <w:lang w:val="en-US" w:eastAsia="zh-CN"/>
        </w:rPr>
        <w:t>优化工业结构，发展装备制造行业，提升产业层次和核心竞争力。引进和培育先进装备制造业，依托传统铸造业，延伸矿冶业产业链，大力发展铸件产品的半精加工和精深加工，以及特色五金、钢结构件、农机等金属制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做深生物资源加工业。</w:t>
      </w:r>
      <w:r>
        <w:rPr>
          <w:rFonts w:hint="default" w:ascii="Times New Roman" w:hAnsi="Times New Roman" w:eastAsia="仿宋_GB2312" w:cs="Times New Roman"/>
          <w:color w:val="auto"/>
          <w:sz w:val="32"/>
          <w:szCs w:val="32"/>
          <w:lang w:val="en-US" w:eastAsia="zh-CN"/>
        </w:rPr>
        <w:t>提高传统食品工业技术装备水平，培育壮大茶叶、核桃、柑橘、蔬菜、肉制品等新平特色食品加工业。做大做强具有地方和民族特色的酱菜产业；强化果蔬产品冷链周转、分选包装和畜禽屠宰、冷链，推进茶叶、中药饮片等农产品初加工，发展涵盖种植和养殖基地、加工销售、研发为一体的高原特色农产品加工业；加快糖纸产业转型发展，推进南恩糖纸搬迁改造转型升级项目建设，加快推进年产36万吨饲料厂建设，启动生猪屠宰及肉食品加工项目前期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做大轻工制造业。</w:t>
      </w:r>
      <w:r>
        <w:rPr>
          <w:rFonts w:hint="default" w:ascii="Times New Roman" w:hAnsi="Times New Roman" w:eastAsia="仿宋_GB2312" w:cs="Times New Roman"/>
          <w:color w:val="auto"/>
          <w:sz w:val="32"/>
          <w:szCs w:val="32"/>
          <w:lang w:val="en-US" w:eastAsia="zh-CN"/>
        </w:rPr>
        <w:t>支持力高（云南）箱包有限公司转型升级，发展医护人员防护用品、特种劳动防护用品等纺织制品；支持发展旅游产品、民族工艺品等加工业；以产业园为载体，发展电子元件加工和电动车组装。加快发展高新技术产业，围绕壮大新动能、培育新引擎，扩大招商引资、招才引智，加快聚集一批高端化、智能化项目，以物联网、生物医药等战略性新兴产业培育为重点，大力发展高新技术产业，提升企业自主创新能力，提高核心竞争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做优清洁能源产业。</w:t>
      </w:r>
      <w:r>
        <w:rPr>
          <w:rFonts w:hint="default" w:ascii="Times New Roman" w:hAnsi="Times New Roman" w:eastAsia="仿宋_GB2312" w:cs="Times New Roman"/>
          <w:color w:val="auto"/>
          <w:sz w:val="32"/>
          <w:szCs w:val="32"/>
          <w:lang w:val="en-US" w:eastAsia="zh-CN"/>
        </w:rPr>
        <w:t>以打好“绿色能源牌”为抓手，坚持集中式与分布式并举，有序推进风电、光伏、智慧电网等基础设施建设，加快推进新平绿色发展。建成公种田、双河村光伏电站并并网发电；建设扬武马鹿寨、</w:t>
      </w:r>
      <w:r>
        <w:rPr>
          <w:rFonts w:hint="eastAsia" w:ascii="Times New Roman" w:hAnsi="Times New Roman" w:eastAsia="仿宋_GB2312" w:cs="Times New Roman"/>
          <w:color w:val="auto"/>
          <w:sz w:val="32"/>
          <w:szCs w:val="32"/>
          <w:lang w:val="en-US" w:eastAsia="zh-CN"/>
        </w:rPr>
        <w:t>平甸雨龙、</w:t>
      </w:r>
      <w:r>
        <w:rPr>
          <w:rFonts w:hint="default" w:ascii="Times New Roman" w:hAnsi="Times New Roman" w:eastAsia="仿宋_GB2312" w:cs="Times New Roman"/>
          <w:color w:val="auto"/>
          <w:sz w:val="32"/>
          <w:szCs w:val="32"/>
          <w:lang w:val="en-US" w:eastAsia="zh-CN"/>
        </w:rPr>
        <w:t>漠沙丙坡、平掌梭山等光伏电站；力争启动联兴风电场、哈科迪风电场（二期）项目建设。</w:t>
      </w:r>
      <w:r>
        <w:rPr>
          <w:rFonts w:hint="default" w:ascii="Times New Roman" w:hAnsi="Times New Roman" w:eastAsia="仿宋" w:cs="Times New Roman"/>
          <w:color w:val="auto"/>
          <w:sz w:val="32"/>
          <w:szCs w:val="32"/>
          <w:highlight w:val="none"/>
          <w:lang w:val="en-US" w:eastAsia="zh-CN"/>
        </w:rPr>
        <w:t>持续推进农网改造升级工程，启</w:t>
      </w:r>
      <w:r>
        <w:rPr>
          <w:rFonts w:hint="default" w:ascii="Times New Roman" w:hAnsi="Times New Roman" w:eastAsia="仿宋" w:cs="Times New Roman"/>
          <w:color w:val="auto"/>
          <w:sz w:val="32"/>
          <w:szCs w:val="32"/>
          <w:highlight w:val="none"/>
        </w:rPr>
        <w:t>动220千伏花街输变电工程项目前期</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有序推进35千伏峨德输变电工程</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建成35千伏磨盘输变电工程</w:t>
      </w:r>
      <w:r>
        <w:rPr>
          <w:rFonts w:hint="default" w:ascii="Times New Roman" w:hAnsi="Times New Roman" w:eastAsia="仿宋" w:cs="Times New Roman"/>
          <w:color w:val="auto"/>
          <w:sz w:val="32"/>
          <w:szCs w:val="32"/>
          <w:highlight w:val="none"/>
          <w:lang w:val="en-US" w:eastAsia="zh-CN"/>
        </w:rPr>
        <w:t>及</w:t>
      </w:r>
      <w:r>
        <w:rPr>
          <w:rFonts w:hint="default" w:ascii="Times New Roman" w:hAnsi="Times New Roman" w:eastAsia="仿宋" w:cs="Times New Roman"/>
          <w:color w:val="auto"/>
          <w:sz w:val="32"/>
          <w:szCs w:val="32"/>
          <w:highlight w:val="none"/>
        </w:rPr>
        <w:t>35千伏腰街变增容工程</w:t>
      </w:r>
      <w:r>
        <w:rPr>
          <w:rFonts w:hint="default" w:ascii="Times New Roman" w:hAnsi="Times New Roman" w:eastAsia="仿宋" w:cs="Times New Roman"/>
          <w:color w:val="auto"/>
          <w:sz w:val="32"/>
          <w:szCs w:val="32"/>
          <w:highlight w:val="none"/>
          <w:lang w:eastAsia="zh-CN"/>
        </w:rPr>
        <w:t>，</w:t>
      </w:r>
      <w:r>
        <w:rPr>
          <w:rFonts w:hint="eastAsia" w:ascii="仿宋" w:hAnsi="仿宋" w:eastAsia="仿宋" w:cs="仿宋"/>
          <w:color w:val="0000FF"/>
          <w:sz w:val="32"/>
          <w:szCs w:val="32"/>
          <w:highlight w:val="none"/>
          <w:lang w:val="en-US" w:eastAsia="zh-CN"/>
        </w:rPr>
        <w:t>进一步加强主网网架建设</w:t>
      </w:r>
      <w:r>
        <w:rPr>
          <w:rFonts w:hint="default" w:ascii="Times New Roman" w:hAnsi="Times New Roman" w:eastAsia="仿宋" w:cs="Times New Roman"/>
          <w:color w:val="0000FF"/>
          <w:sz w:val="32"/>
          <w:szCs w:val="32"/>
          <w:highlight w:val="none"/>
        </w:rPr>
        <w:t>。</w:t>
      </w:r>
      <w:r>
        <w:rPr>
          <w:rFonts w:hint="default" w:ascii="Times New Roman" w:hAnsi="Times New Roman" w:eastAsia="仿宋" w:cs="Times New Roman"/>
          <w:color w:val="auto"/>
          <w:sz w:val="32"/>
          <w:szCs w:val="32"/>
          <w:highlight w:val="none"/>
          <w:lang w:val="en-US" w:eastAsia="zh-CN"/>
        </w:rPr>
        <w:t>深入</w:t>
      </w:r>
      <w:r>
        <w:rPr>
          <w:rFonts w:hint="default" w:ascii="Times New Roman" w:hAnsi="Times New Roman" w:eastAsia="仿宋_GB2312" w:cs="Times New Roman"/>
          <w:color w:val="auto"/>
          <w:sz w:val="32"/>
          <w:szCs w:val="32"/>
          <w:highlight w:val="none"/>
        </w:rPr>
        <w:t>推进充电基础设施建设，</w:t>
      </w:r>
      <w:r>
        <w:rPr>
          <w:rFonts w:hint="default" w:ascii="Times New Roman" w:hAnsi="Times New Roman" w:eastAsia="仿宋_GB2312" w:cs="Times New Roman"/>
          <w:color w:val="auto"/>
          <w:sz w:val="32"/>
          <w:szCs w:val="32"/>
        </w:rPr>
        <w:t>构建充电智能服务平台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开工建设大开门至县城城镇燃气管道。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（二）增强</w:t>
      </w:r>
      <w:r>
        <w:rPr>
          <w:rFonts w:hint="eastAsia" w:ascii="Times New Roman" w:hAnsi="Times New Roman" w:eastAsia="楷体_GB2312" w:cs="Times New Roman"/>
          <w:b/>
          <w:bCs/>
          <w:color w:val="auto"/>
          <w:sz w:val="32"/>
          <w:szCs w:val="32"/>
          <w:lang w:val="en-US" w:eastAsia="zh-CN"/>
        </w:rPr>
        <w:t>经济社会</w:t>
      </w:r>
      <w:r>
        <w:rPr>
          <w:rFonts w:hint="default" w:ascii="Times New Roman" w:hAnsi="Times New Roman" w:eastAsia="楷体_GB2312" w:cs="Times New Roman"/>
          <w:b/>
          <w:bCs/>
          <w:color w:val="auto"/>
          <w:sz w:val="32"/>
          <w:szCs w:val="32"/>
          <w:lang w:val="en-US" w:eastAsia="zh-CN"/>
        </w:rPr>
        <w:t>发展后劲，全力推动活力新平建设。</w:t>
      </w:r>
      <w:r>
        <w:rPr>
          <w:rFonts w:hint="default" w:ascii="Times New Roman" w:hAnsi="Times New Roman" w:eastAsia="仿宋_GB2312" w:cs="Times New Roman"/>
          <w:color w:val="auto"/>
          <w:sz w:val="32"/>
          <w:szCs w:val="32"/>
          <w:lang w:val="en-US" w:eastAsia="zh-CN"/>
        </w:rPr>
        <w:t>坚持把增投资和改革开放作为拉动经济增长的第一动力，不断提升基础设施的支撑能力，不断聚焦一批基础性、牵引性、战略性重大改革事项先行先试，开创高质量转型发展新局面。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强化基础设施项目建设。</w:t>
      </w:r>
      <w:r>
        <w:rPr>
          <w:rFonts w:hint="default" w:ascii="Times New Roman" w:hAnsi="Times New Roman" w:eastAsia="仿宋_GB2312" w:cs="Times New Roman"/>
          <w:color w:val="auto"/>
          <w:sz w:val="32"/>
          <w:szCs w:val="32"/>
          <w:lang w:val="en-US" w:eastAsia="zh-CN"/>
        </w:rPr>
        <w:t>统筹规划、土地、资金、环保等项目建设要素保障，着力推进重大项目建设，扩大有效投资，充分发挥投资的关键性作用。稳步推进永金高速新平（戛洒）至元江（红光）段、马鹿塘至平掌集镇路、河门口至丫勒、乡村振兴道路建设PPP项目建设；力争年内开工建设易门至新平、大开门至石屏宝秀等高速公路；完成洋发城水库扩建、漠沙双河小流域坡耕地水土流失综合治理、42件农村供水保障专项行动项目和西水东调一期水源连通工程建设；实施团结水库截污工程和二期水源连通工程；力争启动十里河、白沙河、阿者河、洋芋山水库以及大春河（二期）河道治理工程建设；加快推进“西水东调”引水工程项目建设；完成亚尼河水库、新元大灌区、南达河水库、哈科甲二坝、平田水库、高粱冲水库前期工作。加快互联网建设，完成云南省电信普遍服务站点建设项目；加快5G基础设施建设，累计建成5G基站136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稳步推进各领域改革。</w:t>
      </w:r>
      <w:r>
        <w:rPr>
          <w:rFonts w:hint="default" w:ascii="Times New Roman" w:hAnsi="Times New Roman" w:eastAsia="仿宋_GB2312" w:cs="Times New Roman"/>
          <w:color w:val="auto"/>
          <w:sz w:val="32"/>
          <w:szCs w:val="32"/>
          <w:lang w:val="en-US" w:eastAsia="zh-CN"/>
        </w:rPr>
        <w:t>深化县乡财政体制改革，抓实财源培植，增强税收共治平台作用发挥，严格执行预算激励约束机制，健全政府债务管理制度和举债融资机制，稳健有序化解政府债务风险。加大简政放权力度，推进戛洒镇行政管理体制改革。稳妥推进农村土地“三权”分置和农村宅基地管理工作，着力抓好农村集体“三资”管理，不断发展壮大村集体经济。推进农业水价综合改革，积极推进新化乡依施河灌区农村综合水价改革。继续深化紧密型医共体改革，进一步做好县乡村三级公立医疗机构总体整合，基本实现集团化管理。深化教育综合改革，实施教育集团化办学、九年一贯制办学和城区公办园托管乡镇中心园辐射一村一幼等教育办学体制改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推进全方位开放发展。</w:t>
      </w:r>
      <w:r>
        <w:rPr>
          <w:rFonts w:hint="default" w:ascii="Times New Roman" w:hAnsi="Times New Roman" w:eastAsia="仿宋_GB2312" w:cs="Times New Roman"/>
          <w:color w:val="auto"/>
          <w:sz w:val="32"/>
          <w:szCs w:val="32"/>
          <w:lang w:val="en-US" w:eastAsia="zh-CN"/>
        </w:rPr>
        <w:t>主动服务和融入国家“一带一路”和云南省面向南亚东南亚辐射中心建设，发挥区位优势主动融入热区产业经济带建设发展，依托中老铁路等对外开放通道建设，合力推进现代物流基地建设，提升物流集聚平台，积极发展通道经济。加强与玉溪、昆明、红河等地区域协作，促进贸易、投资、制造业、农业资源等领域合作取得新突破，实现联动互补发展，加快建设外向型产业基地和进出口商品生产基地，统筹推进新平产业园区、新平农产品智慧冷链物流园、大开门大型物流仓储中心、农业园区等各类功能区建设。加大对外交流推介，积极组织企业参加南博会、南亚东南亚投资贸易洽谈会、昆交会等推介活动，鼓励企业走出去，积极开拓新兴市场，进一步拓展进出口企业市场渠道。探索发展出口贸易新业态，大力推动“互联网+外贸”，积极发展跨境电子商务，强化新平荔枝、新平腌菜等农特产品品牌效应，不断延伸产业深加工链条，提高农产品附加值，提升出口农产品质量，增强农产品出口竞争优势。鼓励企业实施产业技术改造和创新，提高出口产品的质量、档次和附加值，积极培育以技术、品牌、质量、服务为核心的出口竞争新优势。坚持招商引资一把手工程不动摇，加大平台招商、产业招商、精准招商力度，着力引进一批具有引领性、带动性、成长性的大项目、好项目。加强与浙云公司合作对接，成功引进一批轻工业项目落户园区。完成进出口总额17</w:t>
      </w:r>
      <w:r>
        <w:rPr>
          <w:rFonts w:hint="eastAsia" w:ascii="Times New Roman" w:hAnsi="Times New Roman" w:eastAsia="仿宋_GB2312" w:cs="Times New Roman"/>
          <w:color w:val="auto"/>
          <w:sz w:val="32"/>
          <w:szCs w:val="32"/>
          <w:lang w:val="en-US" w:eastAsia="zh-CN"/>
        </w:rPr>
        <w:t>04</w:t>
      </w:r>
      <w:r>
        <w:rPr>
          <w:rFonts w:hint="default" w:ascii="Times New Roman" w:hAnsi="Times New Roman" w:eastAsia="仿宋_GB2312" w:cs="Times New Roman"/>
          <w:color w:val="auto"/>
          <w:sz w:val="32"/>
          <w:szCs w:val="32"/>
          <w:lang w:val="en-US" w:eastAsia="zh-CN"/>
        </w:rPr>
        <w:t>万美元，同比增长10%以上。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b/>
          <w:bCs/>
          <w:color w:val="auto"/>
          <w:sz w:val="32"/>
          <w:szCs w:val="32"/>
          <w:lang w:val="en-US" w:eastAsia="zh-CN"/>
        </w:rPr>
        <w:t>（三）</w:t>
      </w:r>
      <w:r>
        <w:rPr>
          <w:rFonts w:hint="eastAsia" w:ascii="Times New Roman" w:hAnsi="Times New Roman" w:eastAsia="楷体_GB2312" w:cs="Times New Roman"/>
          <w:b/>
          <w:bCs/>
          <w:color w:val="auto"/>
          <w:sz w:val="32"/>
          <w:szCs w:val="32"/>
          <w:lang w:val="en-US" w:eastAsia="zh-CN"/>
        </w:rPr>
        <w:t>着力丰富群众</w:t>
      </w:r>
      <w:r>
        <w:rPr>
          <w:rFonts w:hint="default" w:ascii="Times New Roman" w:hAnsi="Times New Roman" w:eastAsia="楷体_GB2312" w:cs="Times New Roman"/>
          <w:b/>
          <w:bCs/>
          <w:color w:val="auto"/>
          <w:sz w:val="32"/>
          <w:szCs w:val="32"/>
          <w:lang w:val="en-US" w:eastAsia="zh-CN"/>
        </w:rPr>
        <w:t>文化</w:t>
      </w:r>
      <w:r>
        <w:rPr>
          <w:rFonts w:hint="eastAsia" w:ascii="Times New Roman" w:hAnsi="Times New Roman" w:eastAsia="楷体_GB2312" w:cs="Times New Roman"/>
          <w:b/>
          <w:bCs/>
          <w:color w:val="auto"/>
          <w:sz w:val="32"/>
          <w:szCs w:val="32"/>
          <w:lang w:val="en-US" w:eastAsia="zh-CN"/>
        </w:rPr>
        <w:t>生活</w:t>
      </w:r>
      <w:r>
        <w:rPr>
          <w:rFonts w:hint="default" w:ascii="Times New Roman" w:hAnsi="Times New Roman" w:eastAsia="楷体_GB2312" w:cs="Times New Roman"/>
          <w:b/>
          <w:bCs/>
          <w:color w:val="auto"/>
          <w:sz w:val="32"/>
          <w:szCs w:val="32"/>
          <w:lang w:val="en-US" w:eastAsia="zh-CN"/>
        </w:rPr>
        <w:t>，全力推动文化新平建设。</w:t>
      </w:r>
      <w:r>
        <w:rPr>
          <w:rFonts w:hint="default" w:ascii="Times New Roman" w:hAnsi="Times New Roman" w:eastAsia="仿宋_GB2312" w:cs="Times New Roman"/>
          <w:color w:val="auto"/>
          <w:spacing w:val="0"/>
          <w:sz w:val="32"/>
          <w:szCs w:val="32"/>
          <w:u w:val="none"/>
        </w:rPr>
        <w:t>培育和践行社会主义核心价值观，</w:t>
      </w:r>
      <w:r>
        <w:rPr>
          <w:rFonts w:hint="default" w:ascii="Times New Roman" w:hAnsi="Times New Roman" w:eastAsia="仿宋_GB2312" w:cs="Times New Roman"/>
          <w:color w:val="auto"/>
          <w:spacing w:val="0"/>
          <w:sz w:val="32"/>
          <w:szCs w:val="32"/>
          <w:u w:val="none"/>
          <w:lang w:val="en-US" w:eastAsia="zh-CN"/>
        </w:rPr>
        <w:t>牢固树立中华民族共同体意识，</w:t>
      </w:r>
      <w:r>
        <w:rPr>
          <w:rFonts w:hint="default" w:ascii="Times New Roman" w:hAnsi="Times New Roman" w:eastAsia="仿宋_GB2312" w:cs="Times New Roman"/>
          <w:color w:val="auto"/>
          <w:spacing w:val="0"/>
          <w:sz w:val="32"/>
          <w:szCs w:val="32"/>
          <w:u w:val="none"/>
        </w:rPr>
        <w:t>加强党史、新中国史、改革开放史、社会主义发展史教育，强化爱国主义、思想道德教育</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color w:val="auto"/>
          <w:spacing w:val="0"/>
          <w:sz w:val="32"/>
          <w:szCs w:val="32"/>
          <w:u w:val="none"/>
          <w:lang w:val="en-US" w:eastAsia="zh-CN"/>
        </w:rPr>
        <w:t>牢牢把握意识形态工作的主动权，</w:t>
      </w:r>
      <w:r>
        <w:rPr>
          <w:rFonts w:hint="default" w:ascii="Times New Roman" w:hAnsi="Times New Roman" w:eastAsia="仿宋_GB2312" w:cs="Times New Roman"/>
          <w:color w:val="auto"/>
          <w:spacing w:val="0"/>
          <w:sz w:val="32"/>
          <w:szCs w:val="32"/>
        </w:rPr>
        <w:t>坚定道路自信、理论自信、制度自信、文化自信</w:t>
      </w:r>
      <w:r>
        <w:rPr>
          <w:rFonts w:hint="default" w:ascii="Times New Roman" w:hAnsi="Times New Roman" w:eastAsia="仿宋_GB2312" w:cs="Times New Roman"/>
          <w:color w:val="auto"/>
          <w:spacing w:val="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u w:val="none"/>
          <w:lang w:val="en-US" w:eastAsia="zh-CN"/>
        </w:rPr>
        <w:t xml:space="preserve"> </w:t>
      </w:r>
      <w:r>
        <w:rPr>
          <w:rFonts w:hint="default" w:ascii="Times New Roman" w:hAnsi="Times New Roman" w:eastAsia="仿宋_GB2312" w:cs="Times New Roman"/>
          <w:b/>
          <w:bCs w:val="0"/>
          <w:color w:val="auto"/>
          <w:spacing w:val="0"/>
          <w:sz w:val="32"/>
          <w:szCs w:val="32"/>
        </w:rPr>
        <w:t>提升公共文化服务水平</w:t>
      </w:r>
      <w:r>
        <w:rPr>
          <w:rFonts w:hint="default" w:ascii="Times New Roman" w:hAnsi="Times New Roman" w:eastAsia="仿宋_GB2312" w:cs="Times New Roman"/>
          <w:b/>
          <w:bCs w:val="0"/>
          <w:color w:val="auto"/>
          <w:spacing w:val="0"/>
          <w:sz w:val="32"/>
          <w:szCs w:val="32"/>
          <w:lang w:eastAsia="zh-CN"/>
        </w:rPr>
        <w:t>。</w:t>
      </w:r>
      <w:r>
        <w:rPr>
          <w:rFonts w:hint="default" w:ascii="Times New Roman" w:hAnsi="Times New Roman" w:eastAsia="仿宋_GB2312" w:cs="Times New Roman"/>
          <w:color w:val="auto"/>
          <w:spacing w:val="0"/>
          <w:sz w:val="32"/>
          <w:szCs w:val="32"/>
          <w:highlight w:val="none"/>
        </w:rPr>
        <w:t>坚持以人民为中心的发展思想，建设完善现代公共文化服务体系和广电服务体系</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u w:val="none"/>
          <w:lang w:val="en-US" w:eastAsia="zh-CN"/>
        </w:rPr>
        <w:t>积极争创全国文明城市，大力推进文明村镇、文明单位、文明校园、文明家庭创建，广泛开展十星级文明户评选活动，推动社会文明进步。</w:t>
      </w:r>
      <w:r>
        <w:rPr>
          <w:rFonts w:hint="default" w:ascii="Times New Roman" w:hAnsi="Times New Roman" w:eastAsia="仿宋_GB2312" w:cs="Times New Roman"/>
          <w:color w:val="auto"/>
          <w:spacing w:val="0"/>
          <w:sz w:val="32"/>
          <w:szCs w:val="32"/>
        </w:rPr>
        <w:t>以推动文化创新为动力，以满足各族群众日益增长的精神文化需求为出发点和落脚点，建立健全县、乡、村、组四级公共文化服务体系。建立以</w:t>
      </w:r>
      <w:r>
        <w:rPr>
          <w:rFonts w:hint="default" w:ascii="Times New Roman" w:hAnsi="Times New Roman" w:eastAsia="仿宋_GB2312" w:cs="Times New Roman"/>
          <w:color w:val="auto"/>
          <w:spacing w:val="0"/>
          <w:sz w:val="32"/>
          <w:szCs w:val="32"/>
          <w:lang w:eastAsia="zh-CN"/>
        </w:rPr>
        <w:t>县民族</w:t>
      </w:r>
      <w:r>
        <w:rPr>
          <w:rFonts w:hint="default" w:ascii="Times New Roman" w:hAnsi="Times New Roman" w:eastAsia="仿宋_GB2312" w:cs="Times New Roman"/>
          <w:color w:val="auto"/>
          <w:spacing w:val="0"/>
          <w:sz w:val="32"/>
          <w:szCs w:val="32"/>
        </w:rPr>
        <w:t>图书馆、文化馆为总馆，乡镇（街道）综合文化站为分馆的总分馆制建设，加快构建覆盖城乡、惠及全民的公共文化服务体系。整合各部门和社会资源推进公共文化服务数字化建设，推动数字文化资源</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进村入户</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。实施文化惠民工程，开展好文艺辅导、文化遗产保护等活动及培训。建立群众文化需求反馈机制，完善政府购买公共文化服务目录，开展</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菜单式</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订单式</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服务。继续加快高清广播电视节目的传输覆盖和入户接收，提升有线电视网络的覆盖率和有线电视网络的双向化改造水平。优化改版新平电视台自办节目，推陈出新，加快人工智能、大数据在制播体系的应用。推进媒体深度融合，建强用好县级融媒体中心。严格落实广播电视安全播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一把手</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负责制，强化安全播出及信息安全管理。实施</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互联网+</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公共文化服务行动，</w:t>
      </w:r>
      <w:r>
        <w:rPr>
          <w:rFonts w:hint="default" w:ascii="Times New Roman" w:hAnsi="Times New Roman" w:eastAsia="仿宋_GB2312" w:cs="Times New Roman"/>
          <w:color w:val="auto"/>
          <w:spacing w:val="0"/>
          <w:sz w:val="32"/>
          <w:szCs w:val="32"/>
          <w:lang w:val="en-US" w:eastAsia="zh-CN"/>
        </w:rPr>
        <w:t>加强网络文明建设，发展健康网络文化</w:t>
      </w:r>
      <w:r>
        <w:rPr>
          <w:rFonts w:hint="default" w:ascii="Times New Roman" w:hAnsi="Times New Roman" w:eastAsia="仿宋_GB2312" w:cs="Times New Roman"/>
          <w:color w:val="auto"/>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val="0"/>
          <w:color w:val="auto"/>
          <w:spacing w:val="0"/>
          <w:sz w:val="32"/>
          <w:szCs w:val="32"/>
        </w:rPr>
        <w:t>弘扬优秀</w:t>
      </w:r>
      <w:r>
        <w:rPr>
          <w:rFonts w:hint="default" w:ascii="Times New Roman" w:hAnsi="Times New Roman" w:eastAsia="仿宋_GB2312" w:cs="Times New Roman"/>
          <w:b/>
          <w:bCs w:val="0"/>
          <w:color w:val="auto"/>
          <w:spacing w:val="0"/>
          <w:sz w:val="32"/>
          <w:szCs w:val="32"/>
          <w:lang w:val="en-US" w:eastAsia="zh-CN"/>
        </w:rPr>
        <w:t>民族</w:t>
      </w:r>
      <w:r>
        <w:rPr>
          <w:rFonts w:hint="default" w:ascii="Times New Roman" w:hAnsi="Times New Roman" w:eastAsia="仿宋_GB2312" w:cs="Times New Roman"/>
          <w:b/>
          <w:bCs w:val="0"/>
          <w:color w:val="auto"/>
          <w:spacing w:val="0"/>
          <w:sz w:val="32"/>
          <w:szCs w:val="32"/>
        </w:rPr>
        <w:t>传统文化</w:t>
      </w:r>
      <w:r>
        <w:rPr>
          <w:rFonts w:hint="default" w:ascii="Times New Roman" w:hAnsi="Times New Roman" w:eastAsia="仿宋_GB2312" w:cs="Times New Roman"/>
          <w:b/>
          <w:bCs w:val="0"/>
          <w:color w:val="auto"/>
          <w:spacing w:val="0"/>
          <w:sz w:val="32"/>
          <w:szCs w:val="32"/>
          <w:lang w:eastAsia="zh-CN"/>
        </w:rPr>
        <w:t>。</w:t>
      </w:r>
      <w:r>
        <w:rPr>
          <w:rFonts w:hint="default" w:ascii="Times New Roman" w:hAnsi="Times New Roman" w:eastAsia="仿宋_GB2312" w:cs="Times New Roman"/>
          <w:color w:val="auto"/>
          <w:spacing w:val="0"/>
          <w:sz w:val="32"/>
          <w:szCs w:val="32"/>
          <w:highlight w:val="none"/>
          <w:lang w:val="en-US" w:eastAsia="zh-CN"/>
        </w:rPr>
        <w:t>深入挖掘</w:t>
      </w:r>
      <w:r>
        <w:rPr>
          <w:rFonts w:hint="default" w:ascii="Times New Roman" w:hAnsi="Times New Roman" w:eastAsia="仿宋_GB2312" w:cs="Times New Roman"/>
          <w:color w:val="auto"/>
          <w:spacing w:val="0"/>
          <w:sz w:val="32"/>
          <w:szCs w:val="32"/>
          <w:highlight w:val="none"/>
        </w:rPr>
        <w:t>民族特色文化，加强民族文化传承，推进文物、非物质文化遗产的保护传承和活化利用，加强文艺精品创作。</w:t>
      </w:r>
      <w:r>
        <w:rPr>
          <w:rFonts w:hint="default" w:ascii="Times New Roman" w:hAnsi="Times New Roman" w:eastAsia="仿宋_GB2312" w:cs="Times New Roman"/>
          <w:b w:val="0"/>
          <w:bCs/>
          <w:color w:val="auto"/>
          <w:spacing w:val="0"/>
          <w:sz w:val="32"/>
          <w:szCs w:val="32"/>
        </w:rPr>
        <w:t>保护传承民族</w:t>
      </w:r>
      <w:r>
        <w:rPr>
          <w:rFonts w:hint="default" w:ascii="Times New Roman" w:hAnsi="Times New Roman" w:eastAsia="仿宋_GB2312" w:cs="Times New Roman"/>
          <w:b w:val="0"/>
          <w:bCs/>
          <w:color w:val="auto"/>
          <w:spacing w:val="0"/>
          <w:sz w:val="32"/>
          <w:szCs w:val="32"/>
          <w:lang w:val="en-US" w:eastAsia="zh-CN"/>
        </w:rPr>
        <w:t>传统</w:t>
      </w:r>
      <w:r>
        <w:rPr>
          <w:rFonts w:hint="default" w:ascii="Times New Roman" w:hAnsi="Times New Roman" w:eastAsia="仿宋_GB2312" w:cs="Times New Roman"/>
          <w:b w:val="0"/>
          <w:bCs/>
          <w:color w:val="auto"/>
          <w:spacing w:val="0"/>
          <w:sz w:val="32"/>
          <w:szCs w:val="32"/>
        </w:rPr>
        <w:t>文化</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color w:val="auto"/>
          <w:spacing w:val="0"/>
          <w:sz w:val="32"/>
          <w:szCs w:val="32"/>
        </w:rPr>
        <w:t>建立少数民族文化资源数据库和少数民族语言文字资源数据库，加强以花腰傣为主的少数民族古籍、手工、歌舞等优秀民族传统文化的抢救、挖掘、整理、研究与出版，助力</w:t>
      </w:r>
      <w:r>
        <w:rPr>
          <w:rFonts w:hint="default" w:ascii="Times New Roman" w:hAnsi="Times New Roman" w:eastAsia="仿宋_GB2312" w:cs="Times New Roman"/>
          <w:color w:val="auto"/>
          <w:spacing w:val="0"/>
          <w:sz w:val="32"/>
          <w:szCs w:val="32"/>
          <w:lang w:val="en-US" w:eastAsia="zh-CN"/>
        </w:rPr>
        <w:t>中国花腰傣文化旅游目的地建设</w:t>
      </w:r>
      <w:r>
        <w:rPr>
          <w:rFonts w:hint="default" w:ascii="Times New Roman" w:hAnsi="Times New Roman" w:eastAsia="仿宋_GB2312" w:cs="Times New Roman"/>
          <w:color w:val="auto"/>
          <w:spacing w:val="0"/>
          <w:sz w:val="32"/>
          <w:szCs w:val="32"/>
        </w:rPr>
        <w:t>。建立非物质文化遗产保护名录体系，实施非物质文化遗产传承发展工程。加强对各级文物的保护修缮。健全文化发展机制，推动文艺</w:t>
      </w:r>
      <w:r>
        <w:rPr>
          <w:rFonts w:hint="default" w:ascii="Times New Roman" w:hAnsi="Times New Roman" w:eastAsia="仿宋_GB2312" w:cs="Times New Roman"/>
          <w:color w:val="auto"/>
          <w:spacing w:val="0"/>
          <w:sz w:val="32"/>
          <w:szCs w:val="32"/>
          <w:lang w:eastAsia="zh-CN"/>
        </w:rPr>
        <w:t>创作</w:t>
      </w:r>
      <w:r>
        <w:rPr>
          <w:rFonts w:hint="default" w:ascii="Times New Roman" w:hAnsi="Times New Roman" w:eastAsia="仿宋_GB2312" w:cs="Times New Roman"/>
          <w:color w:val="auto"/>
          <w:spacing w:val="0"/>
          <w:sz w:val="32"/>
          <w:szCs w:val="32"/>
        </w:rPr>
        <w:t>、文化传承。突出新平文化底蕴与特色，实施文艺精品工程，支持骨干企业和文艺单位开展《喊月亮》情景歌舞剧创作，打造特色文化</w:t>
      </w:r>
      <w:r>
        <w:rPr>
          <w:rFonts w:hint="default" w:ascii="Times New Roman" w:hAnsi="Times New Roman" w:eastAsia="仿宋_GB2312" w:cs="Times New Roman"/>
          <w:color w:val="auto"/>
          <w:spacing w:val="0"/>
          <w:sz w:val="32"/>
          <w:szCs w:val="32"/>
          <w:lang w:val="en-US" w:eastAsia="zh-CN"/>
        </w:rPr>
        <w:t>旅游</w:t>
      </w:r>
      <w:r>
        <w:rPr>
          <w:rFonts w:hint="default" w:ascii="Times New Roman" w:hAnsi="Times New Roman" w:eastAsia="仿宋_GB2312" w:cs="Times New Roman"/>
          <w:color w:val="auto"/>
          <w:spacing w:val="0"/>
          <w:sz w:val="32"/>
          <w:szCs w:val="32"/>
        </w:rPr>
        <w:t>品牌。探索</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非遗+旅游</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非遗+研学</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开发模式，开发非遗旅游产品，积极开展非物质文化遗产展示。吸引社会力量保护开发</w:t>
      </w:r>
      <w:r>
        <w:rPr>
          <w:rFonts w:hint="default" w:ascii="Times New Roman" w:hAnsi="Times New Roman" w:eastAsia="仿宋_GB2312" w:cs="Times New Roman"/>
          <w:color w:val="auto"/>
          <w:spacing w:val="0"/>
          <w:sz w:val="32"/>
          <w:szCs w:val="32"/>
          <w:lang w:val="en-US" w:eastAsia="zh-CN"/>
        </w:rPr>
        <w:t>并</w:t>
      </w:r>
      <w:r>
        <w:rPr>
          <w:rFonts w:hint="default" w:ascii="Times New Roman" w:hAnsi="Times New Roman" w:eastAsia="仿宋_GB2312" w:cs="Times New Roman"/>
          <w:color w:val="auto"/>
          <w:spacing w:val="0"/>
          <w:sz w:val="32"/>
          <w:szCs w:val="32"/>
        </w:rPr>
        <w:t>盘活古村落、古民居资源。积极开拓民俗文化市场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加强竹编、土陶、花腰傣刺绣等民族工艺、保护与开发利用。积极参与</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云南省民族艺术之乡</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评比。</w:t>
      </w:r>
      <w:r>
        <w:rPr>
          <w:rFonts w:hint="default" w:ascii="Times New Roman" w:hAnsi="Times New Roman" w:eastAsia="仿宋_GB2312" w:cs="Times New Roman"/>
          <w:color w:val="auto"/>
          <w:spacing w:val="0"/>
          <w:sz w:val="32"/>
          <w:szCs w:val="32"/>
          <w:lang w:eastAsia="zh-CN"/>
        </w:rPr>
        <w:t>以市场为导向，创新举办火把节、花街节、沐浴节、服饰节等传统民族节庆活动，</w:t>
      </w:r>
      <w:r>
        <w:rPr>
          <w:rFonts w:hint="default" w:ascii="Times New Roman" w:hAnsi="Times New Roman" w:eastAsia="仿宋_GB2312" w:cs="Times New Roman"/>
          <w:color w:val="auto"/>
          <w:spacing w:val="0"/>
          <w:sz w:val="32"/>
          <w:szCs w:val="32"/>
        </w:rPr>
        <w:t>打造少数民族特色节庆品牌</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建设</w:t>
      </w:r>
      <w:r>
        <w:rPr>
          <w:rFonts w:hint="default" w:ascii="Times New Roman" w:hAnsi="Times New Roman" w:eastAsia="仿宋_GB2312" w:cs="Times New Roman"/>
          <w:color w:val="auto"/>
          <w:spacing w:val="0"/>
          <w:sz w:val="32"/>
          <w:szCs w:val="32"/>
          <w:lang w:eastAsia="zh-CN"/>
        </w:rPr>
        <w:t>平寨、</w:t>
      </w:r>
      <w:r>
        <w:rPr>
          <w:rFonts w:hint="default" w:ascii="Times New Roman" w:hAnsi="Times New Roman" w:eastAsia="仿宋_GB2312" w:cs="Times New Roman"/>
          <w:color w:val="auto"/>
          <w:spacing w:val="0"/>
          <w:sz w:val="32"/>
          <w:szCs w:val="32"/>
        </w:rPr>
        <w:t>大沐浴、磨皮等少数民族特色村寨</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促进民族民间文化与旅游深度融合发展</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创新投融资模式，扶持一批创新力竞争力强的文旅和文创企业，加快发展文化创意设计等新型文化业态，鼓励创作具有新平少数民族文化</w:t>
      </w:r>
      <w:r>
        <w:rPr>
          <w:rFonts w:hint="default" w:ascii="Times New Roman" w:hAnsi="Times New Roman" w:eastAsia="仿宋_GB2312" w:cs="Times New Roman"/>
          <w:color w:val="auto"/>
          <w:spacing w:val="0"/>
          <w:sz w:val="32"/>
          <w:szCs w:val="32"/>
          <w:lang w:val="en-US" w:eastAsia="zh-CN"/>
        </w:rPr>
        <w:t>底蕴</w:t>
      </w:r>
      <w:r>
        <w:rPr>
          <w:rFonts w:hint="default" w:ascii="Times New Roman" w:hAnsi="Times New Roman" w:eastAsia="仿宋_GB2312" w:cs="Times New Roman"/>
          <w:color w:val="auto"/>
          <w:spacing w:val="0"/>
          <w:sz w:val="32"/>
          <w:szCs w:val="32"/>
        </w:rPr>
        <w:t>的艺术作品，壮大民族文化产业。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（四）</w:t>
      </w:r>
      <w:r>
        <w:rPr>
          <w:rFonts w:hint="eastAsia" w:ascii="Times New Roman" w:hAnsi="Times New Roman" w:eastAsia="楷体_GB2312" w:cs="Times New Roman"/>
          <w:b/>
          <w:bCs/>
          <w:color w:val="auto"/>
          <w:sz w:val="32"/>
          <w:szCs w:val="32"/>
          <w:lang w:val="en-US" w:eastAsia="zh-CN"/>
        </w:rPr>
        <w:t>不断改善城乡</w:t>
      </w:r>
      <w:r>
        <w:rPr>
          <w:rFonts w:hint="default" w:ascii="Times New Roman" w:hAnsi="Times New Roman" w:eastAsia="楷体_GB2312" w:cs="Times New Roman"/>
          <w:b/>
          <w:bCs/>
          <w:color w:val="auto"/>
          <w:sz w:val="32"/>
          <w:szCs w:val="32"/>
          <w:lang w:val="en-US" w:eastAsia="zh-CN"/>
        </w:rPr>
        <w:t>宜居</w:t>
      </w:r>
      <w:r>
        <w:rPr>
          <w:rFonts w:hint="eastAsia" w:ascii="Times New Roman" w:hAnsi="Times New Roman" w:eastAsia="楷体_GB2312" w:cs="Times New Roman"/>
          <w:b/>
          <w:bCs/>
          <w:color w:val="auto"/>
          <w:sz w:val="32"/>
          <w:szCs w:val="32"/>
          <w:lang w:val="en-US" w:eastAsia="zh-CN"/>
        </w:rPr>
        <w:t>环境</w:t>
      </w:r>
      <w:r>
        <w:rPr>
          <w:rFonts w:hint="default" w:ascii="Times New Roman" w:hAnsi="Times New Roman" w:eastAsia="楷体_GB2312" w:cs="Times New Roman"/>
          <w:b/>
          <w:bCs/>
          <w:color w:val="auto"/>
          <w:sz w:val="32"/>
          <w:szCs w:val="32"/>
          <w:lang w:val="en-US" w:eastAsia="zh-CN"/>
        </w:rPr>
        <w:t>，全力推动美丽新平建设。</w:t>
      </w:r>
      <w:r>
        <w:rPr>
          <w:rFonts w:hint="default" w:ascii="Times New Roman" w:hAnsi="Times New Roman" w:eastAsia="仿宋_GB2312" w:cs="Times New Roman"/>
          <w:color w:val="auto"/>
          <w:sz w:val="32"/>
          <w:szCs w:val="32"/>
          <w:lang w:val="en-US" w:eastAsia="zh-CN"/>
        </w:rPr>
        <w:t>深入践行“绿水青山就是金山银山”的理念，全面提升生态系统功能，构建美丽县城、特色小镇、美丽乡村为一体的美丽新平建设体系。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筑牢生态安全屏障。</w:t>
      </w:r>
      <w:r>
        <w:rPr>
          <w:rFonts w:hint="default" w:ascii="Times New Roman" w:hAnsi="Times New Roman" w:eastAsia="仿宋_GB2312" w:cs="Times New Roman"/>
          <w:color w:val="auto"/>
          <w:sz w:val="32"/>
          <w:szCs w:val="32"/>
          <w:lang w:val="en-US" w:eastAsia="zh-CN"/>
        </w:rPr>
        <w:t>以绿色发展为目标，走绿色发展、生态富民之路。认真落实中央环保督察反馈问题整改措施，持续打好蓝天、碧水、净土保卫战，严格落实大气污染防治责任，持续抓好钢铁行业超低排放、工业炉窑综合治理等重点工作；协同控制氮氧化物（NOx）、挥发性有机物（VOCs）等大气主要污染物标准排放。深化红河水系保护修复工作，着力推进水污染治理、水生态修复、水资源保护“三水共治”，确保县级集中式饮用水水源水质达标率保持100%，乡镇集中式饮用水源地水质稳定向好。开展土壤污染源管控行动，定期对重点监管企业和工业园区周边土壤开展监测，加强执法力度，提高我县土壤环境管理能力。加快推进林业生态工程建设，进一步压实林长制责任。深入实施河长制，完成绿汁江老厂段河道治理工程。完成“三线一单”综合管控单元的划分和差异化管控要求的细化工作，构建系统性分区生态环境管控体系。加强农村人居环境整治，深入开展农村生活垃圾治理，实现村庄生活垃圾处理设施全覆盖。</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b/>
          <w:bCs/>
          <w:color w:val="auto"/>
          <w:sz w:val="30"/>
          <w:szCs w:val="30"/>
          <w:lang w:val="en-US" w:eastAsia="zh-CN"/>
        </w:rPr>
        <w:t>聚力城乡品质提升。</w:t>
      </w:r>
      <w:r>
        <w:rPr>
          <w:rFonts w:hint="default" w:ascii="Times New Roman" w:hAnsi="Times New Roman" w:eastAsia="仿宋_GB2312" w:cs="Times New Roman"/>
          <w:color w:val="auto"/>
          <w:sz w:val="30"/>
          <w:szCs w:val="30"/>
          <w:lang w:val="en-US" w:eastAsia="zh-CN"/>
        </w:rPr>
        <w:t>强化中心城区“首位度”建设，密路网、畅交通，抓整治、提品质，夯基础、补短板，建设城市公园，打造公园城市。对标对表巩固提升国家卫生县城、国家园林县城、省级文明县城、爱国卫生“七个专项行动”的成果，做好国家卫生县城、国家园林县城复审各项迎检工作。继续推进“美丽县城”建设，加快推进东互通A匝道改扩建、新平大道延长线改造、桂山公园提升改造、老城片区综合开发、西园路改扩建等项目；启动新平县小河边停车场片区、新东进市场片区、宾馆片区城市更新改造建设项目拆迁工作。加快推进新平县污水处理厂改扩建、垃圾中转站建设及运营、厨余垃圾末端处理、建筑垃圾填埋场、智能化停车等项目建设，改善城市面貌、提升城市功能，消除城市梗阻；高标准推进农村产业融合发展示范项目（田园综合体）建设，持续推进戛洒特色小镇、水塘哪得龙、老厂集镇新区、扬武广场家园等建设，积极推进一批美丽乡村、特色村寨示范点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（五）</w:t>
      </w:r>
      <w:r>
        <w:rPr>
          <w:rFonts w:hint="eastAsia" w:ascii="Times New Roman" w:hAnsi="Times New Roman" w:eastAsia="楷体_GB2312" w:cs="Times New Roman"/>
          <w:b/>
          <w:bCs/>
          <w:color w:val="auto"/>
          <w:sz w:val="32"/>
          <w:szCs w:val="32"/>
          <w:lang w:val="en-US" w:eastAsia="zh-CN"/>
        </w:rPr>
        <w:t>始终</w:t>
      </w:r>
      <w:r>
        <w:rPr>
          <w:rFonts w:hint="default" w:ascii="Times New Roman" w:hAnsi="Times New Roman" w:eastAsia="楷体_GB2312" w:cs="Times New Roman"/>
          <w:b/>
          <w:bCs/>
          <w:color w:val="auto"/>
          <w:sz w:val="32"/>
          <w:szCs w:val="32"/>
          <w:lang w:val="en-US" w:eastAsia="zh-CN"/>
        </w:rPr>
        <w:t>恪守民生为本</w:t>
      </w:r>
      <w:r>
        <w:rPr>
          <w:rFonts w:hint="eastAsia" w:ascii="Times New Roman" w:hAnsi="Times New Roman" w:eastAsia="楷体_GB2312" w:cs="Times New Roman"/>
          <w:b/>
          <w:bCs/>
          <w:color w:val="auto"/>
          <w:sz w:val="32"/>
          <w:szCs w:val="32"/>
          <w:lang w:val="en-US" w:eastAsia="zh-CN"/>
        </w:rPr>
        <w:t>理念</w:t>
      </w:r>
      <w:r>
        <w:rPr>
          <w:rFonts w:hint="default" w:ascii="Times New Roman" w:hAnsi="Times New Roman" w:eastAsia="楷体_GB2312" w:cs="Times New Roman"/>
          <w:b/>
          <w:bCs/>
          <w:color w:val="auto"/>
          <w:sz w:val="32"/>
          <w:szCs w:val="32"/>
          <w:lang w:val="en-US" w:eastAsia="zh-CN"/>
        </w:rPr>
        <w:t>，全力推动和谐新平建设。</w:t>
      </w:r>
      <w:r>
        <w:rPr>
          <w:rFonts w:hint="default" w:ascii="Times New Roman" w:hAnsi="Times New Roman" w:eastAsia="仿宋_GB2312" w:cs="Times New Roman"/>
          <w:color w:val="auto"/>
          <w:sz w:val="32"/>
          <w:szCs w:val="32"/>
          <w:lang w:val="en-US" w:eastAsia="zh-CN"/>
        </w:rPr>
        <w:t>坚持以人民为中心的发展思想，突出抓好乡村振兴、教育、健康、就业、社保等民生大事，办好解民忧、纾民困、惠民生、暖民心的实事好事。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全面实施乡村振兴。</w:t>
      </w:r>
      <w:r>
        <w:rPr>
          <w:rFonts w:hint="default" w:ascii="Times New Roman" w:hAnsi="Times New Roman" w:eastAsia="仿宋_GB2312" w:cs="Times New Roman"/>
          <w:color w:val="auto"/>
          <w:sz w:val="32"/>
          <w:szCs w:val="32"/>
          <w:lang w:val="en-US" w:eastAsia="zh-CN"/>
        </w:rPr>
        <w:t>巩固拓展脱贫攻坚成果同乡村振兴有效衔接。坚持农业农村优先发展，加快农业农村现代化步伐，持续缩小城乡发展差距，让低收入群众共享发展成果。完善县级乡村振兴政策体系、工作体系、制度体系，促进农业高质高效、乡村宜居宜业、农民富裕富足。实施《新平县巩固拓展脱贫攻坚成果同乡村振兴有效衔接规划（2021—2025年）》，积极推进乡村特色产业帮扶、稳定就业帮扶、易地扶贫搬迁后续帮扶、生态经济发展、乡村基础设施建设、乡村公共服务提升、重点村建设七大工程。以产业发展为抓手，坚持分类指导，突出做好“一村一品”；科学规划，合理布局，持续推进戛洒新寨、漠沙曼蚌、水塘哪喊等11个抓党建促乡村振兴示范点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办好人民满意教育。</w:t>
      </w:r>
      <w:r>
        <w:rPr>
          <w:rFonts w:hint="default" w:ascii="Times New Roman" w:hAnsi="Times New Roman" w:eastAsia="仿宋_GB2312" w:cs="Times New Roman"/>
          <w:color w:val="auto"/>
          <w:sz w:val="32"/>
          <w:szCs w:val="32"/>
          <w:lang w:val="en-US" w:eastAsia="zh-CN"/>
        </w:rPr>
        <w:t>进一步推进教育资源布局调整，着力推动教育事业高质量发展。完成戛洒南蚌小学扩建、县职业高级中学产教融合实训基地建设项目；加快推进戛洒第一中学扩建、漠沙中心小学二期校园扩容建设项目；开工建设新平一中教师周转宿舍、新平一中扩建工程（三期）项目；完成新平四小扩建、新平二中扩建、新平三小迁建、新平五小迁建、县城西片区幼儿园建设、扬武大开门小学迁建、扬武中心小学迁建等项目前期工作。加快实施智慧校园建设，鼓励民办教育发展，认真贯彻落实“双减”和控辍保学工作。加强学前教育普惠优质发展，着力推进义务教育优质均衡发展，实施普通高中教育质量提升计划，规范民办普通高中管理，鼓励职业教育优质特色发展。高度重视校园安全工作，加强师德师风建设，促进教育教学质量整体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建设健康新平。</w:t>
      </w:r>
      <w:r>
        <w:rPr>
          <w:rFonts w:hint="default" w:ascii="Times New Roman" w:hAnsi="Times New Roman" w:eastAsia="仿宋_GB2312" w:cs="Times New Roman"/>
          <w:color w:val="auto"/>
          <w:sz w:val="32"/>
          <w:szCs w:val="32"/>
          <w:lang w:val="en-US" w:eastAsia="zh-CN"/>
        </w:rPr>
        <w:t>巩固疫情防控成果，扎实抓好常态化疫情防控工作。着力强弱项补短板，加大医疗卫生基础设施建设，完善公共卫生服务体系。完成县人民医院综合楼项目建设；稳步推进县人民医院门诊医技楼、平掌卫生院改扩建等项目建设。持续推进爱国卫生“7个专项行动”，做好全国卫生县城复审迎检工作。加强医德医风建设，提升诊疗服务水平。加强妇幼健康服务，为农村妇女提供“两癌”检查服务，实施残疾预防重点干预和残疾儿童抢救性康复项目，实施免费婚前医学检查，让全民健康托起全面小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全面落实就业优先政策。</w:t>
      </w:r>
      <w:r>
        <w:rPr>
          <w:rFonts w:hint="default" w:ascii="Times New Roman" w:hAnsi="Times New Roman" w:eastAsia="仿宋_GB2312" w:cs="Times New Roman"/>
          <w:color w:val="auto"/>
          <w:sz w:val="32"/>
          <w:szCs w:val="32"/>
          <w:lang w:val="en-US" w:eastAsia="zh-CN"/>
        </w:rPr>
        <w:t>把稳就业摆在更加突出位置，实施创业带动就业工程，落实农民工返乡创业、民营企业、小微企业就业创业扶持政策。扎实做好高校毕业生、农村劳动力、城镇就业困难人员、退役军人等重点群体就业工作，实现零就业家庭动态清零。实施以“人人持证、技能社会”为目标的全民技能提升工程，打造家政、护工服务等特色劳务品牌。继续实施免费法律咨询便民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完善社会保障体系。</w:t>
      </w:r>
      <w:r>
        <w:rPr>
          <w:rFonts w:hint="default" w:ascii="Times New Roman" w:hAnsi="Times New Roman" w:eastAsia="仿宋_GB2312" w:cs="Times New Roman"/>
          <w:color w:val="auto"/>
          <w:sz w:val="32"/>
          <w:szCs w:val="32"/>
          <w:lang w:val="en-US" w:eastAsia="zh-CN"/>
        </w:rPr>
        <w:t>巩固全民参保登记成果，以农民工、个体从业、灵活就业和新业态从业人员等群体为重点，持续扩大参保覆盖面。严格贯彻落实《保障农民工工资支付条例》</w:t>
      </w:r>
      <w:bookmarkStart w:id="0" w:name="_GoBack"/>
      <w:bookmarkEnd w:id="0"/>
      <w:r>
        <w:rPr>
          <w:rFonts w:hint="default" w:ascii="Times New Roman" w:hAnsi="Times New Roman" w:eastAsia="仿宋_GB2312" w:cs="Times New Roman"/>
          <w:color w:val="auto"/>
          <w:sz w:val="32"/>
          <w:szCs w:val="32"/>
          <w:lang w:val="en-US" w:eastAsia="zh-CN"/>
        </w:rPr>
        <w:t>，保障农民工工资发放。扩大异地就医联网结算覆盖范围，把更多救命救急的好药纳入医保。完善最低生活保障制度，切实提高兜底保障能力。完善困难残疾人生活补贴和重度残疾人护理补贴制度，保障残疾人基本权益。以全新理念做好价格监测、价格调控与反垄断执法，营造和谐稳定的发展环境。扛牢安全生产责任，强化安全风险管控，严防生产安全事故。妥善解决群众合理诉求，加大社会综合治理、禁毒防艾、扫黄打非和应急管理等工作，坚决纠正损害群众利益的行为。加强信访、审计、司法工作，依法防范和惩治违法犯罪活动，促进社会和谐稳定。抓好依法统计、退役军人事务管理以及水库移民开发管理工作。抓好武装、气象、防震减灾、人民防空、侨台、双拥、残联等工作。支持工会、共青团、妇女儿童、保密、老龄、史志、红十字会、工商联、科协、关心下一代等群团组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各位代表，2022年是实施“十四五”规划的关键之年，做好今年各项工作任务，需要我们奋力开拓，让我们在县委的坚强领导下，凝聚全县上下的智慧和力量，适应新常态，抢抓新机遇，引领新发展，实现新跨越，为建设富强新平、活力新平、文化新平、美丽新平、和谐新平而努力奋斗，以优异成绩迎接党的二十大胜利召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新平县2021年国民经济和社会发展主要指标完成情况及2022年计划表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新平县2022年规模以上固定资产投资计划表</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3.新平县</w:t>
      </w:r>
      <w:r>
        <w:rPr>
          <w:rFonts w:hint="default" w:ascii="Times New Roman" w:hAnsi="Times New Roman" w:eastAsia="仿宋_GB2312" w:cs="Times New Roman"/>
          <w:color w:val="auto"/>
          <w:sz w:val="32"/>
          <w:szCs w:val="32"/>
          <w:lang w:val="en-US" w:eastAsia="zh-CN"/>
        </w:rPr>
        <w:t>2022年县级预算内前期工作经费支持项目投资计划表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4.新平县</w:t>
      </w:r>
      <w:r>
        <w:rPr>
          <w:rFonts w:hint="default" w:ascii="Times New Roman" w:hAnsi="Times New Roman" w:eastAsia="仿宋_GB2312" w:cs="Times New Roman"/>
          <w:color w:val="auto"/>
          <w:sz w:val="32"/>
          <w:szCs w:val="32"/>
          <w:lang w:val="en-US" w:eastAsia="zh-CN"/>
        </w:rPr>
        <w:t>2022年政府性投资建设计划表</w:t>
      </w:r>
    </w:p>
    <w:p>
      <w:pPr>
        <w:pStyle w:val="2"/>
        <w:ind w:firstLine="1050" w:firstLineChars="500"/>
        <w:rPr>
          <w:rFonts w:hint="default"/>
          <w:lang w:val="en-US" w:eastAsia="zh-CN"/>
        </w:rPr>
      </w:pPr>
      <w:r>
        <w:rPr>
          <w:rFonts w:hint="eastAsia"/>
          <w:lang w:val="en-US" w:eastAsia="zh-CN"/>
        </w:rPr>
        <w:t xml:space="preserve">              </w:t>
      </w:r>
    </w:p>
    <w:p>
      <w:pPr>
        <w:pStyle w:val="2"/>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pStyle w:val="3"/>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2"/>
        <w:rPr>
          <w:rFonts w:hint="default" w:ascii="Times New Roman" w:hAnsi="Times New Roman" w:eastAsia="仿宋_GB2312" w:cs="Times New Roman"/>
          <w:color w:val="auto"/>
          <w:sz w:val="32"/>
          <w:szCs w:val="32"/>
          <w:lang w:val="en-US" w:eastAsia="zh-CN"/>
        </w:rPr>
      </w:pPr>
    </w:p>
    <w:p>
      <w:pPr>
        <w:pStyle w:val="3"/>
        <w:rPr>
          <w:rFonts w:hint="default"/>
          <w:lang w:val="en-US" w:eastAsia="zh-CN"/>
        </w:rPr>
      </w:pPr>
    </w:p>
    <w:p>
      <w:pPr>
        <w:rPr>
          <w:rFonts w:hint="default"/>
          <w:lang w:val="en-US" w:eastAsia="zh-CN"/>
        </w:rPr>
      </w:pPr>
    </w:p>
    <w:tbl>
      <w:tblPr>
        <w:tblStyle w:val="12"/>
        <w:tblW w:w="8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04"/>
        <w:gridCol w:w="753"/>
        <w:gridCol w:w="795"/>
        <w:gridCol w:w="720"/>
        <w:gridCol w:w="735"/>
        <w:gridCol w:w="893"/>
        <w:gridCol w:w="667"/>
        <w:gridCol w:w="921"/>
        <w:gridCol w:w="722"/>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5" w:hRule="atLeast"/>
        </w:trPr>
        <w:tc>
          <w:tcPr>
            <w:tcW w:w="8937"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color w:val="000000"/>
                <w:sz w:val="36"/>
                <w:szCs w:val="36"/>
                <w:u w:val="none"/>
              </w:rPr>
            </w:pPr>
            <w:r>
              <w:rPr>
                <w:rStyle w:val="16"/>
                <w:rFonts w:hint="eastAsia" w:ascii="方正小标宋_GBK" w:hAnsi="方正小标宋_GBK" w:eastAsia="方正小标宋_GBK" w:cs="方正小标宋_GBK"/>
                <w:sz w:val="44"/>
                <w:szCs w:val="44"/>
                <w:lang w:val="en-US" w:eastAsia="zh-CN" w:bidi="ar"/>
              </w:rPr>
              <w:t>新平县</w:t>
            </w:r>
            <w:r>
              <w:rPr>
                <w:rStyle w:val="17"/>
                <w:rFonts w:hint="eastAsia" w:ascii="方正小标宋_GBK" w:hAnsi="方正小标宋_GBK" w:eastAsia="方正小标宋_GBK" w:cs="方正小标宋_GBK"/>
                <w:sz w:val="44"/>
                <w:szCs w:val="44"/>
                <w:lang w:val="en-US" w:eastAsia="zh-CN" w:bidi="ar"/>
              </w:rPr>
              <w:t>2021</w:t>
            </w:r>
            <w:r>
              <w:rPr>
                <w:rStyle w:val="16"/>
                <w:rFonts w:hint="eastAsia" w:ascii="方正小标宋_GBK" w:hAnsi="方正小标宋_GBK" w:eastAsia="方正小标宋_GBK" w:cs="方正小标宋_GBK"/>
                <w:sz w:val="44"/>
                <w:szCs w:val="44"/>
                <w:lang w:val="en-US" w:eastAsia="zh-CN" w:bidi="ar"/>
              </w:rPr>
              <w:t>年国民经济和社会发展主要指标完成情况及</w:t>
            </w:r>
            <w:r>
              <w:rPr>
                <w:rStyle w:val="17"/>
                <w:rFonts w:hint="eastAsia" w:ascii="方正小标宋_GBK" w:hAnsi="方正小标宋_GBK" w:eastAsia="方正小标宋_GBK" w:cs="方正小标宋_GBK"/>
                <w:sz w:val="44"/>
                <w:szCs w:val="44"/>
                <w:lang w:val="en-US" w:eastAsia="zh-CN" w:bidi="ar"/>
              </w:rPr>
              <w:t>2022</w:t>
            </w:r>
            <w:r>
              <w:rPr>
                <w:rStyle w:val="16"/>
                <w:rFonts w:hint="eastAsia" w:ascii="方正小标宋_GBK" w:hAnsi="方正小标宋_GBK" w:eastAsia="方正小标宋_GBK" w:cs="方正小标宋_GBK"/>
                <w:sz w:val="44"/>
                <w:szCs w:val="44"/>
                <w:lang w:val="en-US" w:eastAsia="zh-CN" w:bidi="ar"/>
              </w:rPr>
              <w:t>年计划表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704"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36"/>
                <w:szCs w:val="36"/>
                <w:u w:val="none"/>
              </w:rPr>
            </w:pPr>
          </w:p>
        </w:tc>
        <w:tc>
          <w:tcPr>
            <w:tcW w:w="753"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36"/>
                <w:szCs w:val="36"/>
                <w:u w:val="none"/>
              </w:rPr>
            </w:pPr>
          </w:p>
        </w:tc>
        <w:tc>
          <w:tcPr>
            <w:tcW w:w="795"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36"/>
                <w:szCs w:val="36"/>
                <w:u w:val="none"/>
              </w:rPr>
            </w:pPr>
          </w:p>
        </w:tc>
        <w:tc>
          <w:tcPr>
            <w:tcW w:w="72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36"/>
                <w:szCs w:val="36"/>
                <w:u w:val="none"/>
              </w:rPr>
            </w:pPr>
          </w:p>
        </w:tc>
        <w:tc>
          <w:tcPr>
            <w:tcW w:w="735"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36"/>
                <w:szCs w:val="36"/>
                <w:u w:val="none"/>
              </w:rPr>
            </w:pPr>
          </w:p>
        </w:tc>
        <w:tc>
          <w:tcPr>
            <w:tcW w:w="893"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36"/>
                <w:szCs w:val="36"/>
                <w:u w:val="none"/>
              </w:rPr>
            </w:pPr>
          </w:p>
        </w:tc>
        <w:tc>
          <w:tcPr>
            <w:tcW w:w="667"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36"/>
                <w:szCs w:val="36"/>
                <w:u w:val="none"/>
              </w:rPr>
            </w:pPr>
          </w:p>
        </w:tc>
        <w:tc>
          <w:tcPr>
            <w:tcW w:w="921"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36"/>
                <w:szCs w:val="36"/>
                <w:u w:val="none"/>
              </w:rPr>
            </w:pPr>
          </w:p>
        </w:tc>
        <w:tc>
          <w:tcPr>
            <w:tcW w:w="722"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36"/>
                <w:szCs w:val="36"/>
                <w:u w:val="none"/>
              </w:rPr>
            </w:pPr>
          </w:p>
        </w:tc>
        <w:tc>
          <w:tcPr>
            <w:tcW w:w="1027"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32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编制单位：新平县发展和改革局</w:t>
            </w:r>
          </w:p>
        </w:tc>
        <w:tc>
          <w:tcPr>
            <w:tcW w:w="72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89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66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000000"/>
                <w:sz w:val="20"/>
                <w:szCs w:val="20"/>
                <w:u w:val="none"/>
              </w:rPr>
            </w:pPr>
          </w:p>
        </w:tc>
        <w:tc>
          <w:tcPr>
            <w:tcW w:w="2670"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填报日期：2022年12月21日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1704"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 xml:space="preserve"> 指标名称</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计</w:t>
            </w:r>
            <w:r>
              <w:rPr>
                <w:rStyle w:val="18"/>
                <w:rFonts w:hint="default" w:ascii="宋体" w:hAnsi="宋体" w:eastAsia="宋体" w:cs="宋体"/>
                <w:lang w:val="en-US" w:eastAsia="zh-CN" w:bidi="ar"/>
              </w:rPr>
              <w:t xml:space="preserve">  </w:t>
            </w:r>
            <w:r>
              <w:rPr>
                <w:rStyle w:val="19"/>
                <w:rFonts w:hint="default" w:ascii="宋体" w:hAnsi="宋体" w:cs="宋体"/>
                <w:lang w:val="en-US" w:eastAsia="zh-CN" w:bidi="ar"/>
              </w:rPr>
              <w:t>量</w:t>
            </w:r>
            <w:r>
              <w:rPr>
                <w:rStyle w:val="19"/>
                <w:rFonts w:hint="default" w:ascii="宋体" w:hAnsi="宋体" w:cs="宋体"/>
                <w:lang w:val="en-US" w:eastAsia="zh-CN" w:bidi="ar"/>
              </w:rPr>
              <w:br w:type="textWrapping"/>
            </w:r>
            <w:r>
              <w:rPr>
                <w:rStyle w:val="19"/>
                <w:rFonts w:hint="default" w:ascii="宋体" w:hAnsi="宋体" w:cs="宋体"/>
                <w:lang w:val="en-US" w:eastAsia="zh-CN" w:bidi="ar"/>
              </w:rPr>
              <w:t>单</w:t>
            </w:r>
            <w:r>
              <w:rPr>
                <w:rStyle w:val="18"/>
                <w:rFonts w:hint="default" w:ascii="宋体" w:hAnsi="宋体" w:eastAsia="宋体" w:cs="宋体"/>
                <w:lang w:val="en-US" w:eastAsia="zh-CN" w:bidi="ar"/>
              </w:rPr>
              <w:t xml:space="preserve">  </w:t>
            </w:r>
            <w:r>
              <w:rPr>
                <w:rStyle w:val="19"/>
                <w:rFonts w:hint="default" w:ascii="宋体" w:hAnsi="宋体" w:cs="宋体"/>
                <w:lang w:val="en-US" w:eastAsia="zh-CN" w:bidi="ar"/>
              </w:rPr>
              <w:t>位</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2020</w:t>
            </w:r>
            <w:r>
              <w:rPr>
                <w:rStyle w:val="19"/>
                <w:rFonts w:hint="default" w:ascii="宋体" w:hAnsi="宋体" w:cs="宋体"/>
                <w:lang w:val="en-US" w:eastAsia="zh-CN" w:bidi="ar"/>
              </w:rPr>
              <w:t>年实际数</w:t>
            </w:r>
          </w:p>
        </w:tc>
        <w:tc>
          <w:tcPr>
            <w:tcW w:w="393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2021</w:t>
            </w:r>
            <w:r>
              <w:rPr>
                <w:rStyle w:val="19"/>
                <w:rFonts w:hint="default" w:ascii="宋体" w:hAnsi="宋体" w:cs="宋体"/>
                <w:lang w:val="en-US" w:eastAsia="zh-CN" w:bidi="ar"/>
              </w:rPr>
              <w:t>年</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2022</w:t>
            </w:r>
            <w:r>
              <w:rPr>
                <w:rStyle w:val="19"/>
                <w:rFonts w:hint="default" w:ascii="宋体" w:hAnsi="宋体" w:cs="宋体"/>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 w:hRule="atLeast"/>
        </w:trPr>
        <w:tc>
          <w:tcPr>
            <w:tcW w:w="170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年初计划数</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1-9月</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全年预计</w:t>
            </w:r>
          </w:p>
        </w:tc>
        <w:tc>
          <w:tcPr>
            <w:tcW w:w="72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计划数</w:t>
            </w:r>
          </w:p>
        </w:tc>
        <w:tc>
          <w:tcPr>
            <w:tcW w:w="1027" w:type="dxa"/>
            <w:vMerge w:val="restart"/>
            <w:tcBorders>
              <w:top w:val="single" w:color="000000" w:sz="4" w:space="0"/>
              <w:left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同比增减（</w:t>
            </w:r>
            <w:r>
              <w:rPr>
                <w:rStyle w:val="18"/>
                <w:rFonts w:hint="default" w:ascii="宋体" w:hAnsi="宋体" w:eastAsia="宋体" w:cs="宋体"/>
                <w:lang w:val="en-US" w:eastAsia="zh-CN" w:bidi="ar"/>
              </w:rPr>
              <w:t>%</w:t>
            </w:r>
            <w:r>
              <w:rPr>
                <w:rStyle w:val="19"/>
                <w:rFonts w:hint="default" w:ascii="宋体" w:hAnsi="宋体" w:cs="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7" w:hRule="atLeast"/>
        </w:trPr>
        <w:tc>
          <w:tcPr>
            <w:tcW w:w="170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0"/>
                <w:szCs w:val="20"/>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实际数</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同比增减（%）</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预计数</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同比增减（％）</w:t>
            </w:r>
          </w:p>
        </w:tc>
        <w:tc>
          <w:tcPr>
            <w:tcW w:w="72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0"/>
                <w:szCs w:val="20"/>
                <w:u w:val="none"/>
              </w:rPr>
            </w:pPr>
          </w:p>
        </w:tc>
        <w:tc>
          <w:tcPr>
            <w:tcW w:w="1027" w:type="dxa"/>
            <w:vMerge w:val="continue"/>
            <w:tcBorders>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6"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一、地区生产总值</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213.9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232.4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174.5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12.5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242.1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10.5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266.9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第一产业</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29.5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33.1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16.8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35.6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8.0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41.6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第二产业</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87.9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88.1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67.2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8.1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97.2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6.5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105.9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第三产业</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96.5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111.7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90.5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16.6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109.2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14.8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119.4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二、农业</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农业总产值</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55.24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62.50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36.38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23.80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69.60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26.00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80.00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14.90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18"/>
                <w:szCs w:val="18"/>
                <w:u w:val="none"/>
                <w:lang w:val="en-US" w:eastAsia="zh-CN" w:bidi="ar"/>
              </w:rPr>
              <w:t>其中： 畜牧业总产值</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13.74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18.26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12.54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2.30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15.10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9.90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16.50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2"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水果总产值</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12.38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13.40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4.73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70.12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14.30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15.50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14.47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粮食总产量</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亿公斤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1.81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0.78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7.63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1.98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9.39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2.00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3"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烟叶交售收入</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2.87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2.9</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2.95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2.79</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2.95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2.79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3.0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三、工业</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6"/>
                <w:szCs w:val="16"/>
                <w:u w:val="none"/>
              </w:rPr>
            </w:pPr>
            <w:r>
              <w:rPr>
                <w:rFonts w:hint="default" w:ascii="宋体" w:hAnsi="宋体" w:eastAsia="宋体" w:cs="宋体"/>
                <w:i w:val="0"/>
                <w:color w:val="000000"/>
                <w:kern w:val="0"/>
                <w:sz w:val="16"/>
                <w:szCs w:val="16"/>
                <w:u w:val="none"/>
                <w:lang w:val="en-US" w:eastAsia="zh-CN" w:bidi="ar"/>
              </w:rPr>
              <w:t xml:space="preserve"> 规模以上工业总产值</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283.9 </w:t>
            </w: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284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273.4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36.6 </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387.0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36.3 </w:t>
            </w:r>
          </w:p>
        </w:tc>
        <w:tc>
          <w:tcPr>
            <w:tcW w:w="722"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395.0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4"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6"/>
                <w:szCs w:val="16"/>
                <w:u w:val="none"/>
              </w:rPr>
            </w:pPr>
            <w:r>
              <w:rPr>
                <w:rFonts w:hint="default" w:ascii="宋体" w:hAnsi="宋体" w:eastAsia="宋体" w:cs="宋体"/>
                <w:i w:val="0"/>
                <w:color w:val="000000"/>
                <w:kern w:val="0"/>
                <w:sz w:val="16"/>
                <w:szCs w:val="16"/>
                <w:u w:val="none"/>
                <w:lang w:val="en-US" w:eastAsia="zh-CN" w:bidi="ar"/>
              </w:rPr>
              <w:t xml:space="preserve"> 规模以上工业增加值</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66.3 </w:t>
            </w: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69.8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54.1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4.6</w:t>
            </w:r>
          </w:p>
        </w:tc>
        <w:tc>
          <w:tcPr>
            <w:tcW w:w="6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76.8 </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6.0 </w:t>
            </w:r>
          </w:p>
        </w:tc>
        <w:tc>
          <w:tcPr>
            <w:tcW w:w="722"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81.0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建筑业增加值</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19.6 </w:t>
            </w:r>
          </w:p>
        </w:tc>
        <w:tc>
          <w:tcPr>
            <w:tcW w:w="7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23.7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16.4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17.1</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23.1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11.6 </w:t>
            </w:r>
          </w:p>
        </w:tc>
        <w:tc>
          <w:tcPr>
            <w:tcW w:w="7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22.5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四、服务业</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1027"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旅游收入</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40.6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50.0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37.5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36.01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47.0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15.78</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50.0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5"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接待国内外游客</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万人次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497.7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550.0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454.9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35.23</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560.0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12.52</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600.0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五、规模以上固定资产投资</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77.5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89.1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58.5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21.9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93.5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18.0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FF0000"/>
                <w:kern w:val="0"/>
                <w:sz w:val="18"/>
                <w:szCs w:val="18"/>
                <w:u w:val="none"/>
                <w:lang w:val="en-US" w:eastAsia="zh-CN" w:bidi="ar"/>
              </w:rPr>
              <w:t>10</w:t>
            </w:r>
            <w:r>
              <w:rPr>
                <w:rFonts w:hint="eastAsia" w:ascii="宋体" w:hAnsi="宋体" w:eastAsia="宋体" w:cs="宋体"/>
                <w:i w:val="0"/>
                <w:color w:val="FF0000"/>
                <w:kern w:val="0"/>
                <w:sz w:val="18"/>
                <w:szCs w:val="18"/>
                <w:u w:val="none"/>
                <w:lang w:val="en-US" w:eastAsia="zh-CN" w:bidi="ar"/>
              </w:rPr>
              <w:t>5</w:t>
            </w:r>
            <w:r>
              <w:rPr>
                <w:rFonts w:hint="default" w:ascii="宋体" w:hAnsi="宋体" w:eastAsia="宋体" w:cs="宋体"/>
                <w:i w:val="0"/>
                <w:color w:val="FF0000"/>
                <w:kern w:val="0"/>
                <w:sz w:val="18"/>
                <w:szCs w:val="18"/>
                <w:u w:val="none"/>
                <w:lang w:val="en-US" w:eastAsia="zh-CN" w:bidi="ar"/>
              </w:rPr>
              <w:t>.</w:t>
            </w:r>
            <w:r>
              <w:rPr>
                <w:rFonts w:hint="eastAsia" w:ascii="宋体" w:hAnsi="宋体" w:eastAsia="宋体" w:cs="宋体"/>
                <w:i w:val="0"/>
                <w:color w:val="FF0000"/>
                <w:kern w:val="0"/>
                <w:sz w:val="18"/>
                <w:szCs w:val="18"/>
                <w:u w:val="none"/>
                <w:lang w:val="en-US" w:eastAsia="zh-CN" w:bidi="ar"/>
              </w:rPr>
              <w:t>3</w:t>
            </w:r>
            <w:r>
              <w:rPr>
                <w:rFonts w:hint="default" w:ascii="宋体" w:hAnsi="宋体" w:eastAsia="宋体" w:cs="宋体"/>
                <w:i w:val="0"/>
                <w:color w:val="000000"/>
                <w:kern w:val="0"/>
                <w:sz w:val="18"/>
                <w:szCs w:val="18"/>
                <w:u w:val="none"/>
                <w:lang w:val="en-US" w:eastAsia="zh-CN" w:bidi="ar"/>
              </w:rPr>
              <w:t xml:space="preserve">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1"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六、社会消费品零售总额</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亿元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78.6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86.5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64.7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16.10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91.18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16.00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102.12</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七、人民生活</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农村居民人均可支配收入</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15858.0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17319</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14216.0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12.2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17285.0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9.0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18962.0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城镇居民人均可支配收入</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41952.0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45322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34170.0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11.3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45308.0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8.0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49159.0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八、财政收支</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地方财政收入</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23.2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17.0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11.9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10.5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20.6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-11.2 </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15.9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4"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其中：一般公共预算收入</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12.9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13.5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8.6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14.5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13.5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5.0 </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13.9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地方财政支出</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39.2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32.1 </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30.8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21.6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42.4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8.2 </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28.5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其中：一般公共预算支出</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35.4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31.0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24.7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0.05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29.3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-17.2 </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26.5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九、招商引资</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rPr>
                <w:rFonts w:hint="default"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0"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外商直接投资</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万美元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0.0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0.0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200.0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200.0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100.0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1"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16"/>
                <w:szCs w:val="16"/>
                <w:u w:val="none"/>
                <w:lang w:val="en-US" w:eastAsia="zh-CN" w:bidi="ar"/>
              </w:rPr>
              <w:t xml:space="preserve"> 引进市外国内资金</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58.5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62.0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59.3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21.0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70.0 </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75.6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1"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16"/>
                <w:szCs w:val="16"/>
                <w:u w:val="none"/>
                <w:lang w:val="en-US" w:eastAsia="zh-CN" w:bidi="ar"/>
              </w:rPr>
              <w:t xml:space="preserve">  引进省外国内资金</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亿元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58.5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62.0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56.7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15.6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70.0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20.0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73.5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十、进出口总额</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万美元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8303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9416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1067.28</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-77.57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1557.84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-81.24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1713.62</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4"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其中：进口总额</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万美元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6.41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69.13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15.71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8.91</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9"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出口总额</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万美元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8296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9408.0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1060.87</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-77.69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1549.74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-81.32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1704.71</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1704"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十二、城镇化水平</w:t>
            </w:r>
          </w:p>
        </w:tc>
        <w:tc>
          <w:tcPr>
            <w:tcW w:w="753"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0"/>
                <w:szCs w:val="20"/>
                <w:u w:val="none"/>
              </w:rPr>
            </w:pPr>
          </w:p>
        </w:tc>
        <w:tc>
          <w:tcPr>
            <w:tcW w:w="79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3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89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5"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城镇化率</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42.9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43.5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43.9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44.9</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7"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十三、就业</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66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9"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城镇新增就业人数</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3308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3000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3202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18.64</w:t>
            </w:r>
          </w:p>
        </w:tc>
        <w:tc>
          <w:tcPr>
            <w:tcW w:w="66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3300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-0.2</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3270</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城镇登记失业率</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3.38</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3.5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3.34 </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66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3.50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3.50 </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rPr>
            </w:pPr>
            <w:r>
              <w:rPr>
                <w:rFonts w:hint="default" w:ascii="宋体" w:hAnsi="宋体" w:eastAsia="宋体" w:cs="宋体"/>
                <w:b/>
                <w:i w:val="0"/>
                <w:color w:val="000000"/>
                <w:kern w:val="0"/>
                <w:sz w:val="20"/>
                <w:szCs w:val="20"/>
                <w:u w:val="none"/>
                <w:lang w:val="en-US" w:eastAsia="zh-CN" w:bidi="ar"/>
              </w:rPr>
              <w:t>十</w:t>
            </w:r>
            <w:r>
              <w:rPr>
                <w:rStyle w:val="20"/>
                <w:rFonts w:hint="default" w:ascii="宋体" w:hAnsi="宋体" w:cs="宋体"/>
                <w:lang w:val="en-US" w:eastAsia="zh-CN" w:bidi="ar"/>
              </w:rPr>
              <w:t>五</w:t>
            </w:r>
            <w:r>
              <w:rPr>
                <w:rStyle w:val="19"/>
                <w:rFonts w:hint="default" w:ascii="宋体" w:hAnsi="宋体" w:cs="宋体"/>
                <w:lang w:val="en-US" w:eastAsia="zh-CN" w:bidi="ar"/>
              </w:rPr>
              <w:t>、社会保障</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66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城镇职工参加基本养老保险人数</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33202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33800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34945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9.02 </w:t>
            </w:r>
          </w:p>
        </w:tc>
        <w:tc>
          <w:tcPr>
            <w:tcW w:w="66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36048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8.57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36500</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6"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城乡居民参加基本养老保险人数</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175656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175700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175209</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0.09 </w:t>
            </w:r>
          </w:p>
        </w:tc>
        <w:tc>
          <w:tcPr>
            <w:tcW w:w="66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176197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0.31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176250</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6"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城镇职工参加基本医疗保险人数</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25520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25541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26782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6.48 </w:t>
            </w:r>
          </w:p>
        </w:tc>
        <w:tc>
          <w:tcPr>
            <w:tcW w:w="66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26796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4.90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26850</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4" w:hRule="atLeast"/>
        </w:trPr>
        <w:tc>
          <w:tcPr>
            <w:tcW w:w="17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 xml:space="preserve">      城乡居民参加基本医疗保险人数</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人</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249383</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249625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248210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-0.25 </w:t>
            </w:r>
          </w:p>
        </w:tc>
        <w:tc>
          <w:tcPr>
            <w:tcW w:w="66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248276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-0.44 </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248100</w:t>
            </w:r>
          </w:p>
        </w:tc>
        <w:tc>
          <w:tcPr>
            <w:tcW w:w="1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-0.07 </w:t>
            </w:r>
          </w:p>
        </w:tc>
      </w:tr>
    </w:tbl>
    <w:p>
      <w:pPr>
        <w:pStyle w:val="3"/>
        <w:ind w:left="0" w:leftChars="0" w:firstLine="0" w:firstLineChars="0"/>
        <w:rPr>
          <w:rFonts w:hint="default" w:ascii="宋体" w:hAnsi="宋体" w:eastAsia="仿宋_GB2312" w:cs="宋体"/>
          <w:color w:val="auto"/>
          <w:sz w:val="32"/>
          <w:szCs w:val="32"/>
          <w:lang w:val="en-US" w:eastAsia="zh-CN"/>
        </w:rPr>
      </w:pPr>
    </w:p>
    <w:p>
      <w:pPr>
        <w:rPr>
          <w:rFonts w:hint="default" w:ascii="Times New Roman" w:hAnsi="Times New Roman" w:cs="Times New Roma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A61AF"/>
    <w:rsid w:val="01BF7999"/>
    <w:rsid w:val="051536FE"/>
    <w:rsid w:val="05A9016C"/>
    <w:rsid w:val="065B5227"/>
    <w:rsid w:val="066A3F69"/>
    <w:rsid w:val="06884C60"/>
    <w:rsid w:val="069F7298"/>
    <w:rsid w:val="06ED67DD"/>
    <w:rsid w:val="086A474E"/>
    <w:rsid w:val="08CF7AC4"/>
    <w:rsid w:val="0AB97F26"/>
    <w:rsid w:val="0CCC760E"/>
    <w:rsid w:val="0D6D57CA"/>
    <w:rsid w:val="0E5C2663"/>
    <w:rsid w:val="0F5D21BF"/>
    <w:rsid w:val="0F633A70"/>
    <w:rsid w:val="0F77582D"/>
    <w:rsid w:val="0FC955E5"/>
    <w:rsid w:val="108A61AF"/>
    <w:rsid w:val="10C81416"/>
    <w:rsid w:val="113D336A"/>
    <w:rsid w:val="1203591A"/>
    <w:rsid w:val="12641DB0"/>
    <w:rsid w:val="12AE11D3"/>
    <w:rsid w:val="12E13385"/>
    <w:rsid w:val="146B206F"/>
    <w:rsid w:val="16290C3E"/>
    <w:rsid w:val="173E32F7"/>
    <w:rsid w:val="18774136"/>
    <w:rsid w:val="1968663A"/>
    <w:rsid w:val="19A96F13"/>
    <w:rsid w:val="1C31558A"/>
    <w:rsid w:val="1CD40E5D"/>
    <w:rsid w:val="1D203E5F"/>
    <w:rsid w:val="1DC276FE"/>
    <w:rsid w:val="1E0E4CB0"/>
    <w:rsid w:val="1E1F2C3D"/>
    <w:rsid w:val="1F243CC1"/>
    <w:rsid w:val="1F6616C6"/>
    <w:rsid w:val="1FAB4482"/>
    <w:rsid w:val="20587BD4"/>
    <w:rsid w:val="22224D8C"/>
    <w:rsid w:val="22EE2E34"/>
    <w:rsid w:val="232A7396"/>
    <w:rsid w:val="23A52FAB"/>
    <w:rsid w:val="23A87BF7"/>
    <w:rsid w:val="23DD42B9"/>
    <w:rsid w:val="23EF27BE"/>
    <w:rsid w:val="25345199"/>
    <w:rsid w:val="25640AAC"/>
    <w:rsid w:val="257018A9"/>
    <w:rsid w:val="26473D85"/>
    <w:rsid w:val="279C76CE"/>
    <w:rsid w:val="28730611"/>
    <w:rsid w:val="288A3310"/>
    <w:rsid w:val="2ABC0366"/>
    <w:rsid w:val="2ABF2550"/>
    <w:rsid w:val="2B13529A"/>
    <w:rsid w:val="2B1411E4"/>
    <w:rsid w:val="2BE11855"/>
    <w:rsid w:val="2EA642F2"/>
    <w:rsid w:val="2F726A17"/>
    <w:rsid w:val="325B1954"/>
    <w:rsid w:val="33A6686B"/>
    <w:rsid w:val="3456537A"/>
    <w:rsid w:val="35621CEC"/>
    <w:rsid w:val="362A53BB"/>
    <w:rsid w:val="36333847"/>
    <w:rsid w:val="38753AA0"/>
    <w:rsid w:val="39246696"/>
    <w:rsid w:val="3B466216"/>
    <w:rsid w:val="3BE17F61"/>
    <w:rsid w:val="3CC353FC"/>
    <w:rsid w:val="3CC822D0"/>
    <w:rsid w:val="3E1F2600"/>
    <w:rsid w:val="3E743BA8"/>
    <w:rsid w:val="3FA80BFC"/>
    <w:rsid w:val="3FFD3448"/>
    <w:rsid w:val="407559ED"/>
    <w:rsid w:val="40F31040"/>
    <w:rsid w:val="412D70FE"/>
    <w:rsid w:val="42C644BB"/>
    <w:rsid w:val="4627147C"/>
    <w:rsid w:val="46343C49"/>
    <w:rsid w:val="468F1984"/>
    <w:rsid w:val="46E23863"/>
    <w:rsid w:val="487F7E31"/>
    <w:rsid w:val="49E30CA1"/>
    <w:rsid w:val="4A5E2B11"/>
    <w:rsid w:val="4A802AD1"/>
    <w:rsid w:val="4AE82397"/>
    <w:rsid w:val="4BB74DBD"/>
    <w:rsid w:val="4BC20DDE"/>
    <w:rsid w:val="4C365F10"/>
    <w:rsid w:val="4C9B29B5"/>
    <w:rsid w:val="4F2F44AF"/>
    <w:rsid w:val="4F643E77"/>
    <w:rsid w:val="50511BEA"/>
    <w:rsid w:val="5086524C"/>
    <w:rsid w:val="510A7B83"/>
    <w:rsid w:val="516C1DEB"/>
    <w:rsid w:val="51EE348A"/>
    <w:rsid w:val="5482030E"/>
    <w:rsid w:val="55DE48BB"/>
    <w:rsid w:val="561E4953"/>
    <w:rsid w:val="56E01992"/>
    <w:rsid w:val="570D5244"/>
    <w:rsid w:val="58D83820"/>
    <w:rsid w:val="591A7E6A"/>
    <w:rsid w:val="597A423C"/>
    <w:rsid w:val="59E90D27"/>
    <w:rsid w:val="5A366BCB"/>
    <w:rsid w:val="5A6E0444"/>
    <w:rsid w:val="5B6F12F7"/>
    <w:rsid w:val="5BE71241"/>
    <w:rsid w:val="5C7A57A8"/>
    <w:rsid w:val="5EAF6D34"/>
    <w:rsid w:val="5EB13F27"/>
    <w:rsid w:val="5ECC045B"/>
    <w:rsid w:val="5ECD2C1F"/>
    <w:rsid w:val="5EE258E2"/>
    <w:rsid w:val="60A61919"/>
    <w:rsid w:val="630F3269"/>
    <w:rsid w:val="66DD2D79"/>
    <w:rsid w:val="68015FBA"/>
    <w:rsid w:val="680D3208"/>
    <w:rsid w:val="683740EB"/>
    <w:rsid w:val="68D36BE6"/>
    <w:rsid w:val="69B1402C"/>
    <w:rsid w:val="6CF06C89"/>
    <w:rsid w:val="6DE3371E"/>
    <w:rsid w:val="6E5A3593"/>
    <w:rsid w:val="6ED40E2B"/>
    <w:rsid w:val="704751EB"/>
    <w:rsid w:val="707F337C"/>
    <w:rsid w:val="70C32973"/>
    <w:rsid w:val="7189786C"/>
    <w:rsid w:val="73233462"/>
    <w:rsid w:val="732B7D22"/>
    <w:rsid w:val="75126B4C"/>
    <w:rsid w:val="765F1BFC"/>
    <w:rsid w:val="77955D14"/>
    <w:rsid w:val="779D06F7"/>
    <w:rsid w:val="79F11BBE"/>
    <w:rsid w:val="7A37698A"/>
    <w:rsid w:val="7B304733"/>
    <w:rsid w:val="7C141E8F"/>
    <w:rsid w:val="7C444211"/>
    <w:rsid w:val="7C8E030F"/>
    <w:rsid w:val="7E1053F0"/>
    <w:rsid w:val="7E4F3D1B"/>
    <w:rsid w:val="7E6C138D"/>
    <w:rsid w:val="7F535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before="120" w:after="120" w:line="360" w:lineRule="auto"/>
      <w:ind w:firstLine="0" w:firstLineChars="0"/>
      <w:jc w:val="center"/>
      <w:outlineLvl w:val="1"/>
    </w:pPr>
    <w:rPr>
      <w:rFonts w:ascii="Calibri" w:hAnsi="Calibri" w:eastAsia="方正黑体_GBK"/>
      <w:bCs/>
      <w:szCs w:val="32"/>
    </w:rPr>
  </w:style>
  <w:style w:type="paragraph" w:styleId="5">
    <w:name w:val="heading 3"/>
    <w:basedOn w:val="1"/>
    <w:next w:val="1"/>
    <w:qFormat/>
    <w:uiPriority w:val="0"/>
    <w:pPr>
      <w:spacing w:beforeAutospacing="1" w:afterAutospacing="1"/>
      <w:jc w:val="left"/>
      <w:outlineLvl w:val="2"/>
    </w:pPr>
    <w:rPr>
      <w:rFonts w:ascii="宋体" w:hAnsi="宋体"/>
      <w:kern w:val="0"/>
      <w:sz w:val="27"/>
      <w:szCs w:val="27"/>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39"/>
    <w:pPr>
      <w:ind w:left="840"/>
      <w:jc w:val="left"/>
    </w:pPr>
    <w:rPr>
      <w:rFonts w:cs="Calibri"/>
      <w:sz w:val="18"/>
      <w:szCs w:val="18"/>
    </w:rPr>
  </w:style>
  <w:style w:type="paragraph" w:styleId="6">
    <w:name w:val="Normal Indent"/>
    <w:basedOn w:val="1"/>
    <w:next w:val="1"/>
    <w:qFormat/>
    <w:uiPriority w:val="0"/>
    <w:pPr>
      <w:ind w:firstLine="420" w:firstLineChars="200"/>
    </w:pPr>
  </w:style>
  <w:style w:type="paragraph" w:styleId="7">
    <w:name w:val="annotation text"/>
    <w:basedOn w:val="1"/>
    <w:qFormat/>
    <w:uiPriority w:val="0"/>
    <w:pPr>
      <w:jc w:val="left"/>
    </w:pPr>
  </w:style>
  <w:style w:type="paragraph" w:styleId="8">
    <w:name w:val="Body Text Indent"/>
    <w:basedOn w:val="1"/>
    <w:qFormat/>
    <w:uiPriority w:val="0"/>
    <w:pPr>
      <w:ind w:firstLine="660"/>
    </w:pPr>
    <w:rPr>
      <w:rFonts w:ascii="宋体" w:eastAsia="宋体"/>
      <w:sz w:val="32"/>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2"/>
    <w:next w:val="2"/>
    <w:qFormat/>
    <w:uiPriority w:val="0"/>
    <w:pPr>
      <w:ind w:firstLine="420" w:firstLineChars="100"/>
    </w:p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_Style 5"/>
    <w:basedOn w:val="1"/>
    <w:qFormat/>
    <w:uiPriority w:val="34"/>
    <w:pPr>
      <w:ind w:firstLine="420" w:firstLineChars="200"/>
    </w:pPr>
  </w:style>
  <w:style w:type="character" w:customStyle="1" w:styleId="16">
    <w:name w:val="font141"/>
    <w:basedOn w:val="13"/>
    <w:qFormat/>
    <w:uiPriority w:val="0"/>
    <w:rPr>
      <w:rFonts w:ascii="黑体" w:hAnsi="宋体" w:eastAsia="黑体" w:cs="黑体"/>
      <w:color w:val="000000"/>
      <w:sz w:val="36"/>
      <w:szCs w:val="36"/>
      <w:u w:val="none"/>
    </w:rPr>
  </w:style>
  <w:style w:type="character" w:customStyle="1" w:styleId="17">
    <w:name w:val="font112"/>
    <w:basedOn w:val="13"/>
    <w:qFormat/>
    <w:uiPriority w:val="0"/>
    <w:rPr>
      <w:rFonts w:hint="default" w:ascii="Times New Roman" w:hAnsi="Times New Roman" w:cs="Times New Roman"/>
      <w:color w:val="000000"/>
      <w:sz w:val="36"/>
      <w:szCs w:val="36"/>
      <w:u w:val="none"/>
    </w:rPr>
  </w:style>
  <w:style w:type="character" w:customStyle="1" w:styleId="18">
    <w:name w:val="font131"/>
    <w:basedOn w:val="13"/>
    <w:qFormat/>
    <w:uiPriority w:val="0"/>
    <w:rPr>
      <w:rFonts w:hint="default" w:ascii="Times New Roman" w:hAnsi="Times New Roman" w:cs="Times New Roman"/>
      <w:b/>
      <w:color w:val="000000"/>
      <w:sz w:val="20"/>
      <w:szCs w:val="20"/>
      <w:u w:val="none"/>
    </w:rPr>
  </w:style>
  <w:style w:type="character" w:customStyle="1" w:styleId="19">
    <w:name w:val="font51"/>
    <w:basedOn w:val="13"/>
    <w:qFormat/>
    <w:uiPriority w:val="0"/>
    <w:rPr>
      <w:rFonts w:hint="eastAsia" w:ascii="宋体" w:hAnsi="宋体" w:eastAsia="宋体" w:cs="宋体"/>
      <w:b/>
      <w:color w:val="000000"/>
      <w:sz w:val="20"/>
      <w:szCs w:val="20"/>
      <w:u w:val="none"/>
    </w:rPr>
  </w:style>
  <w:style w:type="character" w:customStyle="1" w:styleId="20">
    <w:name w:val="font01"/>
    <w:basedOn w:val="13"/>
    <w:qFormat/>
    <w:uiPriority w:val="0"/>
    <w:rPr>
      <w:rFonts w:hint="eastAsia" w:ascii="黑体" w:hAnsi="宋体" w:eastAsia="黑体" w:cs="黑体"/>
      <w:b/>
      <w:color w:val="000000"/>
      <w:sz w:val="20"/>
      <w:szCs w:val="20"/>
      <w:u w:val="none"/>
    </w:rPr>
  </w:style>
  <w:style w:type="paragraph" w:customStyle="1" w:styleId="21">
    <w:name w:val="正文缩进1"/>
    <w:basedOn w:val="1"/>
    <w:qFormat/>
    <w:uiPriority w:val="0"/>
    <w:pPr>
      <w:adjustRightInd w:val="0"/>
      <w:snapToGrid w:val="0"/>
      <w:spacing w:line="560" w:lineRule="exact"/>
      <w:ind w:firstLine="420"/>
    </w:pPr>
    <w:rPr>
      <w:rFonts w:ascii="Calibri" w:hAnsi="Calibri" w:eastAsia="宋体"/>
      <w:sz w:val="21"/>
      <w:szCs w:val="21"/>
    </w:rPr>
  </w:style>
  <w:style w:type="paragraph" w:customStyle="1" w:styleId="22">
    <w:name w:val="正文首行缩进 21"/>
    <w:basedOn w:val="1"/>
    <w:qFormat/>
    <w:uiPriority w:val="0"/>
    <w:pPr>
      <w:spacing w:after="120"/>
      <w:ind w:left="420" w:leftChars="200" w:firstLine="420" w:firstLineChars="200"/>
    </w:pPr>
    <w:rPr>
      <w:kern w:val="0"/>
      <w:sz w:val="28"/>
      <w:szCs w:val="28"/>
    </w:rPr>
  </w:style>
  <w:style w:type="paragraph" w:customStyle="1" w:styleId="2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76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2021-11-01T00:29:00Z</dcterms:created>
  <dc:creator>心灵之约1416196621</dc:creator>
  <cp:lastModifiedBy>Administrator</cp:lastModifiedBy>
  <cp:lastPrinted>2021-12-31T09:37:00Z</cp:lastPrinted>
  <dcterms:modified xsi:type="dcterms:W3CDTF">2024-05-23T01:36:28Z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5AAC1E2F66BE47B788F5F926F69894F1</vt:lpwstr>
  </property>
</Properties>
</file>