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新平县202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住宅用地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供应计划信息</w:t>
      </w:r>
    </w:p>
    <w:p>
      <w:pPr>
        <w:jc w:val="both"/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项目名称三个地块（党校前面地块面积为4.6003公顷；党校后面地块面积为1.7644公顷；花山公园东侧地块面积为1.7448公顷</w:t>
      </w:r>
      <w:bookmarkStart w:id="0" w:name="_GoBack"/>
      <w:bookmarkEnd w:id="0"/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）；位于新平县城西片区，面积共计8.1095公顷，是新平县城今后向西面发展的重要地带。</w:t>
      </w:r>
    </w:p>
    <w:p>
      <w:pPr>
        <w:numPr>
          <w:ilvl w:val="0"/>
          <w:numId w:val="0"/>
        </w:numPr>
        <w:ind w:firstLine="420" w:firstLineChars="200"/>
        <w:jc w:val="both"/>
      </w:pPr>
      <w:r>
        <w:drawing>
          <wp:inline distT="0" distB="0" distL="114300" distR="114300">
            <wp:extent cx="5160010" cy="4260850"/>
            <wp:effectExtent l="0" t="0" r="2540" b="6350"/>
            <wp:docPr id="2097162" name="图片 2" descr="C:\Users\smile\Desktop\县城\党校前、党校后、花山公园东侧.jpg党校前、党校后、花山公园东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2" name="图片 2" descr="C:\Users\smile\Desktop\县城\党校前、党校后、花山公园东侧.jpg党校前、党校后、花山公园东侧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210" w:firstLineChars="1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一、新平党校前开发地块规划指标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40005</wp:posOffset>
                </wp:positionV>
                <wp:extent cx="4091940" cy="1818005"/>
                <wp:effectExtent l="4445" t="5080" r="18415" b="5715"/>
                <wp:wrapNone/>
                <wp:docPr id="1048634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1818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56"/>
                                <w:szCs w:val="56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用地性质：二类居住用地；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用地面积：4.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val="en-US"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6003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公顷；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容积率：1.0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容积率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≤ 1.6；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绿地率：≥35%；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建筑密度：≤32%；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建筑高度：控制在27米以下；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供地方式：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出让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50.1pt;margin-top:3.15pt;height:143.15pt;width:322.2pt;z-index:251659264;mso-width-relative:page;mso-height-relative:page;" filled="f" stroked="t" coordsize="21600,21600" o:gfxdata="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HlJkT1gAAAAkBAAAPAAAAAAAAAAEAIAAAACIAAABkcnMvZG93bnJldi54&#10;bWxQSwECFAAUAAAACACHTuJAFjwoXcMBAABWAwAADgAAAAAAAAABACAAAAAlAQAAZHJzL2Uyb0Rv&#10;Yy54bWxQSwUGAAAAAAYABgBZAQAAWg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56"/>
                          <w:szCs w:val="56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用地性质：二类居住用地；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用地面积：4.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val="en-US"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6003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公顷；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容积率：1.0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容积率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≤ 1.6；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绿地率：≥35%；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建筑密度：≤32%；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建筑高度：控制在27米以下；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供地方式：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出让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新平党校前开发地块区域位置图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096385" cy="3835400"/>
            <wp:effectExtent l="0" t="0" r="18415" b="12700"/>
            <wp:docPr id="20971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二、新平党校后开发地块项目规划指标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116205</wp:posOffset>
                </wp:positionV>
                <wp:extent cx="3375660" cy="1725930"/>
                <wp:effectExtent l="5080" t="4445" r="10160" b="22225"/>
                <wp:wrapNone/>
                <wp:docPr id="104864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25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56"/>
                                <w:szCs w:val="56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用地性质：二类居住用地；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用地面积：1.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val="en-US"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7644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公顷；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容积率：1.0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容积率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≤2.8；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绿地率：≥35%；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建筑密度：≤22%；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建筑高度：控制在54米以下；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供地方式：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出让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47.25pt;margin-top:9.15pt;height:135.9pt;width:265.8pt;z-index:251660288;mso-width-relative:page;mso-height-relative:page;" filled="f" stroked="t" coordsize="21600,21600" o:gfxdata="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VCoddcAAAAJAQAADwAAAAAAAAABACAAAAAiAAAAZHJzL2Rvd25y&#10;ZXYueG1sUEsBAhQAFAAAAAgAh07iQK53643GAQAAVgMAAA4AAAAAAAAAAQAgAAAAJgEAAGRycy9l&#10;Mm9Eb2MueG1sUEsFBgAAAAAGAAYAWQEAAF4FAAAAAA=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56"/>
                          <w:szCs w:val="56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用地性质：二类居住用地；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用地面积：1.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val="en-US"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7644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公顷；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容积率：1.0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容积率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≤2.8；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绿地率：≥35%；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建筑密度：≤22%；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建筑高度：控制在54米以下；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供地方式：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出让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新平党校后开发地块项目区域位置图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433955" cy="2250440"/>
            <wp:effectExtent l="0" t="0" r="4445" b="16510"/>
            <wp:docPr id="20971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eastAsia="zh-CN"/>
        </w:rPr>
        <w:t>三、花山公园东侧拟用地块规划指标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390525</wp:posOffset>
                </wp:positionV>
                <wp:extent cx="2718435" cy="1506855"/>
                <wp:effectExtent l="4445" t="4445" r="20320" b="12700"/>
                <wp:wrapNone/>
                <wp:docPr id="1048646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56"/>
                                <w:szCs w:val="56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用地性质：二类居住用地；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用地面积：1.744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val="en-US"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公顷；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容积率：1.0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容积率</w:t>
                            </w:r>
                            <w:r>
                              <w:rPr>
                                <w:rFonts w:ascii="Calibri" w:hAnsi="Times New Roman" w:eastAsia="宋体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≤1.6；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绿地率：≥35%；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建筑密度：≤32%；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 w:firstLine="64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建筑高度：控制在27米以下；</w:t>
                            </w:r>
                          </w:p>
                          <w:p>
                            <w:pPr>
                              <w:pStyle w:val="4"/>
                              <w:kinsoku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val="en-US"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供地方式：</w:t>
                            </w:r>
                            <w:r>
                              <w:rPr>
                                <w:rFonts w:hint="eastAsia"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:lang w:eastAsia="zh-CN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出让</w:t>
                            </w:r>
                            <w:r>
                              <w:rPr>
                                <w:rFonts w:ascii="Calibri" w:eastAsia="宋体" w:hAnsiTheme="minorBidi"/>
                                <w:color w:val="FFFFFF"/>
                                <w:kern w:val="24"/>
                                <w:sz w:val="21"/>
                                <w:szCs w:val="21"/>
                                <w14:shadow w14:blurRad="38100" w14:dist="22860" w14:dir="540000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84.75pt;margin-top:30.75pt;height:118.65pt;width:214.05pt;z-index:251661312;mso-width-relative:page;mso-height-relative:page;" filled="f" stroked="t" coordsize="21600,21600" o:gfxdata="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b1cU31wAAAAoBAAAPAAAAAAAAAAEAIAAAACIAAABkcnMvZG93bnJl&#10;di54bWxQSwECFAAUAAAACACHTuJAkWavQsUBAABWAwAADgAAAAAAAAABACAAAAAmAQAAZHJzL2Uy&#10;b0RvYy54bWxQSwUGAAAAAAYABgBZAQAAXQ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56"/>
                          <w:szCs w:val="56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用地性质：二类居住用地；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用地面积：1.744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val="en-US"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公顷；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容积率：1.0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容积率</w:t>
                      </w:r>
                      <w:r>
                        <w:rPr>
                          <w:rFonts w:ascii="Calibri" w:hAnsi="Times New Roman" w:eastAsia="宋体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≤1.6；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绿地率：≥35%；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建筑密度：≤32%；</w:t>
                      </w:r>
                    </w:p>
                    <w:p>
                      <w:pPr>
                        <w:pStyle w:val="4"/>
                        <w:kinsoku/>
                        <w:ind w:left="0" w:firstLine="64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建筑高度：控制在27米以下；</w:t>
                      </w:r>
                    </w:p>
                    <w:p>
                      <w:pPr>
                        <w:pStyle w:val="4"/>
                        <w:kinsoku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val="en-US"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供地方式：</w:t>
                      </w:r>
                      <w:r>
                        <w:rPr>
                          <w:rFonts w:hint="eastAsia"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:lang w:eastAsia="zh-CN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出让</w:t>
                      </w:r>
                      <w:r>
                        <w:rPr>
                          <w:rFonts w:ascii="Calibri" w:eastAsia="宋体" w:hAnsiTheme="minorBidi"/>
                          <w:color w:val="FFFFFF"/>
                          <w:kern w:val="24"/>
                          <w:sz w:val="21"/>
                          <w:szCs w:val="21"/>
                          <w14:shadow w14:blurRad="38100" w14:dist="22860" w14:dir="5400000" w14:algn="tl">
                            <w14:srgbClr w14:val="000000">
                              <w14:alpha w14:val="70000"/>
                            </w14:srgbClr>
                          </w14:shadow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花山公园东侧拟用地块区域位置图</w:t>
      </w:r>
    </w:p>
    <w:p>
      <w:pPr>
        <w:bidi w:val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981450" cy="3325495"/>
            <wp:effectExtent l="0" t="0" r="0" b="8255"/>
            <wp:docPr id="209716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6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15F0"/>
    <w:rsid w:val="06551BF9"/>
    <w:rsid w:val="09CD6BFC"/>
    <w:rsid w:val="0DB75354"/>
    <w:rsid w:val="172507B7"/>
    <w:rsid w:val="242D7264"/>
    <w:rsid w:val="25DD17F1"/>
    <w:rsid w:val="2A09411F"/>
    <w:rsid w:val="3004320E"/>
    <w:rsid w:val="3AAC7B7C"/>
    <w:rsid w:val="3D965511"/>
    <w:rsid w:val="3E524E74"/>
    <w:rsid w:val="449A7C77"/>
    <w:rsid w:val="49107460"/>
    <w:rsid w:val="49FB5105"/>
    <w:rsid w:val="506E599F"/>
    <w:rsid w:val="520701A4"/>
    <w:rsid w:val="61914510"/>
    <w:rsid w:val="622C4345"/>
    <w:rsid w:val="6912798A"/>
    <w:rsid w:val="70424609"/>
    <w:rsid w:val="74D248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2021-03-30T23:41:00Z</dcterms:created>
  <dc:creator>smile</dc:creator>
  <cp:lastModifiedBy>DELL</cp:lastModifiedBy>
  <dcterms:modified xsi:type="dcterms:W3CDTF">2024-10-10T07:22:35Z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C94D04C3C9464845A0571DE5B8FE2E84</vt:lpwstr>
  </property>
</Properties>
</file>