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9FC61">
      <w:pPr>
        <w:kinsoku w:val="0"/>
        <w:autoSpaceDE w:val="0"/>
        <w:autoSpaceDN w:val="0"/>
        <w:spacing w:line="580" w:lineRule="exact"/>
        <w:rPr>
          <w:sz w:val="36"/>
        </w:rPr>
      </w:pPr>
    </w:p>
    <w:p w14:paraId="3607538E">
      <w:pPr>
        <w:kinsoku w:val="0"/>
        <w:autoSpaceDE w:val="0"/>
        <w:autoSpaceDN w:val="0"/>
        <w:spacing w:line="580" w:lineRule="exact"/>
        <w:rPr>
          <w:sz w:val="36"/>
        </w:rPr>
      </w:pPr>
    </w:p>
    <w:p w14:paraId="50EFE4FC">
      <w:pPr>
        <w:kinsoku w:val="0"/>
        <w:autoSpaceDE w:val="0"/>
        <w:autoSpaceDN w:val="0"/>
        <w:spacing w:line="580" w:lineRule="exact"/>
        <w:rPr>
          <w:sz w:val="36"/>
        </w:rPr>
      </w:pPr>
    </w:p>
    <w:p w14:paraId="396CB2E9">
      <w:pPr>
        <w:kinsoku w:val="0"/>
        <w:autoSpaceDE w:val="0"/>
        <w:autoSpaceDN w:val="0"/>
        <w:spacing w:line="580" w:lineRule="exact"/>
        <w:rPr>
          <w:sz w:val="32"/>
        </w:rPr>
      </w:pPr>
    </w:p>
    <w:p w14:paraId="7303AC90">
      <w:pPr>
        <w:kinsoku w:val="0"/>
        <w:autoSpaceDE w:val="0"/>
        <w:autoSpaceDN w:val="0"/>
        <w:spacing w:line="580" w:lineRule="exact"/>
        <w:rPr>
          <w:sz w:val="32"/>
        </w:rPr>
      </w:pPr>
    </w:p>
    <w:p w14:paraId="22F9E9D5">
      <w:pPr>
        <w:kinsoku w:val="0"/>
        <w:autoSpaceDE w:val="0"/>
        <w:autoSpaceDN w:val="0"/>
        <w:spacing w:line="580" w:lineRule="exact"/>
        <w:rPr>
          <w:sz w:val="48"/>
        </w:rPr>
      </w:pPr>
    </w:p>
    <w:p w14:paraId="4A98C643">
      <w:pPr>
        <w:keepNext w:val="0"/>
        <w:keepLines w:val="0"/>
        <w:pageBreakBefore w:val="0"/>
        <w:widowControl w:val="0"/>
        <w:kinsoku w:val="0"/>
        <w:wordWrap/>
        <w:overflowPunct/>
        <w:topLinePunct w:val="0"/>
        <w:autoSpaceDE w:val="0"/>
        <w:autoSpaceDN w:val="0"/>
        <w:bidi w:val="0"/>
        <w:adjustRightInd/>
        <w:snapToGrid/>
        <w:spacing w:line="440" w:lineRule="exact"/>
        <w:textAlignment w:val="auto"/>
        <w:rPr>
          <w:sz w:val="48"/>
        </w:rPr>
      </w:pPr>
      <w:bookmarkStart w:id="0" w:name="_GoBack"/>
    </w:p>
    <w:bookmarkEnd w:id="0"/>
    <w:p w14:paraId="59A008CA">
      <w:pPr>
        <w:kinsoku w:val="0"/>
        <w:autoSpaceDE w:val="0"/>
        <w:autoSpaceDN w:val="0"/>
        <w:spacing w:line="580" w:lineRule="exact"/>
        <w:rPr>
          <w:sz w:val="48"/>
        </w:rPr>
      </w:pPr>
    </w:p>
    <w:p w14:paraId="424B70BF">
      <w:pPr>
        <w:kinsoku w:val="0"/>
        <w:autoSpaceDE w:val="0"/>
        <w:autoSpaceDN w:val="0"/>
        <w:spacing w:line="580" w:lineRule="exact"/>
        <w:ind w:firstLine="2880" w:firstLineChars="900"/>
        <w:rPr>
          <w:rFonts w:hAnsi="Times New Roman Regular" w:eastAsia="方正仿宋_GBK"/>
          <w:sz w:val="32"/>
        </w:rPr>
      </w:pPr>
      <w:r>
        <w:rPr>
          <w:rFonts w:hAnsi="Times New Roman Regular" w:eastAsia="方正仿宋_GBK"/>
          <w:sz w:val="32"/>
        </w:rPr>
        <w:t>玉环新局审〔</w:t>
      </w:r>
      <w:r>
        <w:rPr>
          <w:rFonts w:eastAsia="方正仿宋_GBK"/>
          <w:sz w:val="32"/>
        </w:rPr>
        <w:t>202</w:t>
      </w:r>
      <w:r>
        <w:rPr>
          <w:rFonts w:hint="eastAsia" w:eastAsia="方正仿宋_GBK"/>
          <w:sz w:val="32"/>
        </w:rPr>
        <w:t>4</w:t>
      </w:r>
      <w:r>
        <w:rPr>
          <w:rFonts w:hAnsi="Times New Roman Regular" w:eastAsia="方正仿宋_GBK"/>
          <w:sz w:val="32"/>
        </w:rPr>
        <w:t>〕</w:t>
      </w:r>
      <w:r>
        <w:rPr>
          <w:rFonts w:hint="eastAsia" w:hAnsi="Times New Roman Regular" w:eastAsia="方正仿宋_GBK"/>
          <w:sz w:val="32"/>
        </w:rPr>
        <w:t>19</w:t>
      </w:r>
      <w:r>
        <w:rPr>
          <w:rFonts w:hAnsi="Times New Roman Regular" w:eastAsia="方正仿宋_GBK"/>
          <w:sz w:val="32"/>
        </w:rPr>
        <w:t>号</w:t>
      </w:r>
    </w:p>
    <w:p w14:paraId="377181CD">
      <w:pPr>
        <w:kinsoku w:val="0"/>
        <w:autoSpaceDE w:val="0"/>
        <w:autoSpaceDN w:val="0"/>
        <w:spacing w:line="580" w:lineRule="exact"/>
        <w:rPr>
          <w:rFonts w:eastAsia="方正仿宋_GBK"/>
          <w:b/>
          <w:sz w:val="36"/>
          <w:szCs w:val="36"/>
        </w:rPr>
      </w:pPr>
    </w:p>
    <w:p w14:paraId="423472CC">
      <w:pPr>
        <w:kinsoku w:val="0"/>
        <w:autoSpaceDE w:val="0"/>
        <w:autoSpaceDN w:val="0"/>
        <w:spacing w:line="580" w:lineRule="exact"/>
        <w:rPr>
          <w:rFonts w:eastAsia="方正仿宋_GBK"/>
          <w:b/>
          <w:sz w:val="36"/>
          <w:szCs w:val="36"/>
        </w:rPr>
      </w:pPr>
    </w:p>
    <w:p w14:paraId="366ECEB2">
      <w:pPr>
        <w:kinsoku w:val="0"/>
        <w:autoSpaceDE w:val="0"/>
        <w:autoSpaceDN w:val="0"/>
        <w:spacing w:line="580" w:lineRule="exact"/>
        <w:jc w:val="center"/>
        <w:rPr>
          <w:rFonts w:hAnsi="Times New Roman Regular" w:eastAsia="方正小标宋_GBK"/>
          <w:kern w:val="0"/>
          <w:sz w:val="44"/>
          <w:szCs w:val="44"/>
        </w:rPr>
      </w:pPr>
      <w:r>
        <w:rPr>
          <w:rFonts w:hint="eastAsia" w:hAnsi="Times New Roman Regular" w:eastAsia="方正小标宋_GBK"/>
          <w:kern w:val="0"/>
          <w:sz w:val="44"/>
          <w:szCs w:val="44"/>
        </w:rPr>
        <w:t>玉溪市生态环境局新平分局</w:t>
      </w:r>
    </w:p>
    <w:p w14:paraId="7D88E777">
      <w:pPr>
        <w:kinsoku w:val="0"/>
        <w:autoSpaceDE w:val="0"/>
        <w:autoSpaceDN w:val="0"/>
        <w:spacing w:line="580" w:lineRule="exact"/>
        <w:jc w:val="center"/>
        <w:rPr>
          <w:rFonts w:hAnsi="Times New Roman Regular" w:eastAsia="方正小标宋_GBK"/>
          <w:kern w:val="0"/>
          <w:sz w:val="44"/>
          <w:szCs w:val="44"/>
        </w:rPr>
      </w:pPr>
      <w:r>
        <w:rPr>
          <w:rFonts w:hint="eastAsia" w:hAnsi="Times New Roman Regular" w:eastAsia="方正小标宋_GBK"/>
          <w:kern w:val="0"/>
          <w:sz w:val="44"/>
          <w:szCs w:val="44"/>
        </w:rPr>
        <w:t>关于漠沙灯笼山农林光互补光伏发电项目环境影响报告表的批</w:t>
      </w:r>
      <w:r>
        <w:rPr>
          <w:rFonts w:hAnsi="Times New Roman Regular" w:eastAsia="方正小标宋_GBK"/>
          <w:kern w:val="0"/>
          <w:sz w:val="44"/>
          <w:szCs w:val="44"/>
        </w:rPr>
        <w:t>复</w:t>
      </w:r>
    </w:p>
    <w:p w14:paraId="180955B9">
      <w:pPr>
        <w:kinsoku w:val="0"/>
        <w:autoSpaceDE w:val="0"/>
        <w:autoSpaceDN w:val="0"/>
        <w:snapToGrid w:val="0"/>
        <w:spacing w:line="580" w:lineRule="exact"/>
        <w:rPr>
          <w:rFonts w:eastAsia="方正仿宋_GBK"/>
          <w:sz w:val="28"/>
          <w:szCs w:val="28"/>
        </w:rPr>
      </w:pPr>
    </w:p>
    <w:p w14:paraId="4D43B28A">
      <w:pPr>
        <w:kinsoku w:val="0"/>
        <w:autoSpaceDE w:val="0"/>
        <w:autoSpaceDN w:val="0"/>
        <w:snapToGrid w:val="0"/>
        <w:spacing w:line="580" w:lineRule="exact"/>
        <w:rPr>
          <w:rFonts w:hAnsi="方正仿宋_GBK" w:eastAsia="方正仿宋_GBK"/>
          <w:bCs/>
          <w:kern w:val="0"/>
          <w:sz w:val="32"/>
          <w:szCs w:val="32"/>
        </w:rPr>
      </w:pPr>
      <w:r>
        <w:rPr>
          <w:rFonts w:hint="eastAsia" w:hAnsi="方正仿宋_GBK" w:eastAsia="方正仿宋_GBK"/>
          <w:bCs/>
          <w:kern w:val="0"/>
          <w:sz w:val="32"/>
          <w:szCs w:val="32"/>
        </w:rPr>
        <w:t>玉溪水网新能源有限责任公司</w:t>
      </w:r>
      <w:r>
        <w:rPr>
          <w:rFonts w:hAnsi="方正仿宋_GBK" w:eastAsia="方正仿宋_GBK"/>
          <w:bCs/>
          <w:kern w:val="0"/>
          <w:sz w:val="32"/>
          <w:szCs w:val="32"/>
        </w:rPr>
        <w:t>：</w:t>
      </w:r>
    </w:p>
    <w:p w14:paraId="6613AD72">
      <w:pPr>
        <w:kinsoku w:val="0"/>
        <w:autoSpaceDE w:val="0"/>
        <w:autoSpaceDN w:val="0"/>
        <w:snapToGrid w:val="0"/>
        <w:spacing w:line="580" w:lineRule="exact"/>
        <w:ind w:firstLine="640" w:firstLineChars="200"/>
        <w:rPr>
          <w:rFonts w:hAnsi="方正仿宋_GBK" w:eastAsia="方正仿宋_GBK"/>
          <w:bCs/>
          <w:kern w:val="0"/>
          <w:sz w:val="32"/>
          <w:szCs w:val="32"/>
        </w:rPr>
      </w:pPr>
      <w:r>
        <w:rPr>
          <w:rFonts w:hAnsi="方正仿宋_GBK" w:eastAsia="方正仿宋_GBK"/>
          <w:bCs/>
          <w:kern w:val="0"/>
          <w:sz w:val="32"/>
          <w:szCs w:val="32"/>
        </w:rPr>
        <w:t>你公司申报的《</w:t>
      </w:r>
      <w:r>
        <w:rPr>
          <w:rFonts w:hint="eastAsia" w:hAnsi="方正仿宋_GBK" w:eastAsia="方正仿宋_GBK"/>
          <w:bCs/>
          <w:kern w:val="0"/>
          <w:sz w:val="32"/>
          <w:szCs w:val="32"/>
        </w:rPr>
        <w:t>漠沙灯笼山农林光互补光伏发电项目环境影响报告表</w:t>
      </w:r>
      <w:r>
        <w:rPr>
          <w:rFonts w:hAnsi="方正仿宋_GBK" w:eastAsia="方正仿宋_GBK"/>
          <w:bCs/>
          <w:kern w:val="0"/>
          <w:sz w:val="32"/>
          <w:szCs w:val="32"/>
        </w:rPr>
        <w:t>》（以下简称《报告</w:t>
      </w:r>
      <w:r>
        <w:rPr>
          <w:rFonts w:hint="eastAsia" w:hAnsi="方正仿宋_GBK" w:eastAsia="方正仿宋_GBK"/>
          <w:bCs/>
          <w:kern w:val="0"/>
          <w:sz w:val="32"/>
          <w:szCs w:val="32"/>
        </w:rPr>
        <w:t>表</w:t>
      </w:r>
      <w:r>
        <w:rPr>
          <w:rFonts w:hAnsi="方正仿宋_GBK" w:eastAsia="方正仿宋_GBK"/>
          <w:bCs/>
          <w:kern w:val="0"/>
          <w:sz w:val="32"/>
          <w:szCs w:val="32"/>
        </w:rPr>
        <w:t>》）收悉。经我局建设项目环境影响评价审查委员会研究，批复如下。</w:t>
      </w:r>
    </w:p>
    <w:p w14:paraId="10133A83">
      <w:pPr>
        <w:kinsoku w:val="0"/>
        <w:autoSpaceDE w:val="0"/>
        <w:autoSpaceDN w:val="0"/>
        <w:snapToGrid w:val="0"/>
        <w:spacing w:line="580" w:lineRule="exac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一、项目概况及总体意见</w:t>
      </w:r>
    </w:p>
    <w:p w14:paraId="1ED79FAA">
      <w:pPr>
        <w:kinsoku w:val="0"/>
        <w:autoSpaceDE w:val="0"/>
        <w:autoSpaceDN w:val="0"/>
        <w:spacing w:line="580" w:lineRule="exact"/>
        <w:ind w:firstLine="480"/>
        <w:rPr>
          <w:rFonts w:eastAsia="方正仿宋_GBK"/>
          <w:sz w:val="32"/>
        </w:rPr>
      </w:pPr>
      <w:r>
        <w:rPr>
          <w:rFonts w:hint="eastAsia" w:eastAsia="方正仿宋_GBK"/>
          <w:sz w:val="32"/>
        </w:rPr>
        <w:t>该项目位</w:t>
      </w:r>
      <w:r>
        <w:rPr>
          <w:rFonts w:hint="eastAsia" w:hAnsi="方正仿宋_GBK" w:eastAsia="方正仿宋_GBK"/>
          <w:bCs/>
          <w:kern w:val="0"/>
          <w:sz w:val="32"/>
          <w:szCs w:val="32"/>
        </w:rPr>
        <w:t>于云南省玉溪市新平县漠沙镇。总占地面积为205.57</w:t>
      </w:r>
      <w:r>
        <w:rPr>
          <w:rFonts w:eastAsia="方正仿宋_GBK"/>
          <w:sz w:val="32"/>
        </w:rPr>
        <w:t>hm</w:t>
      </w:r>
      <w:r>
        <w:rPr>
          <w:rFonts w:eastAsia="方正仿宋_GBK"/>
          <w:sz w:val="32"/>
          <w:vertAlign w:val="superscript"/>
        </w:rPr>
        <w:t>2</w:t>
      </w:r>
      <w:r>
        <w:rPr>
          <w:rFonts w:eastAsia="方正仿宋_GBK"/>
          <w:sz w:val="32"/>
        </w:rPr>
        <w:t>，建设性质为</w:t>
      </w:r>
      <w:r>
        <w:rPr>
          <w:rFonts w:hint="eastAsia" w:eastAsia="方正仿宋_GBK"/>
          <w:sz w:val="32"/>
        </w:rPr>
        <w:t>新建</w:t>
      </w:r>
      <w:r>
        <w:rPr>
          <w:rFonts w:eastAsia="方正仿宋_GBK"/>
          <w:sz w:val="32"/>
        </w:rPr>
        <w:t>。建设规模及内容：</w:t>
      </w:r>
      <w:r>
        <w:rPr>
          <w:rFonts w:hint="eastAsia" w:eastAsia="方正仿宋_GBK"/>
          <w:sz w:val="32"/>
        </w:rPr>
        <w:t>项目规划额定容量135MW，电池组件安装容量</w:t>
      </w:r>
      <w:r>
        <w:rPr>
          <w:rFonts w:eastAsia="方正仿宋_GBK"/>
          <w:sz w:val="32"/>
        </w:rPr>
        <w:t>166.803</w:t>
      </w:r>
      <w:r>
        <w:rPr>
          <w:rFonts w:hint="eastAsia" w:eastAsia="方正仿宋_GBK"/>
          <w:sz w:val="32"/>
        </w:rPr>
        <w:t>MWp。项目新建46个光伏方阵、1座110kV升压站、进站道路24m、35kV集电线路17.16km（含直埋电缆10.36km、架空线路6.80km）、塔基37座、“农林光互补”面积135.95hm</w:t>
      </w:r>
      <w:r>
        <w:rPr>
          <w:rFonts w:hint="eastAsia" w:eastAsia="方正仿宋_GBK"/>
          <w:sz w:val="32"/>
          <w:vertAlign w:val="superscript"/>
        </w:rPr>
        <w:t>2</w:t>
      </w:r>
      <w:r>
        <w:rPr>
          <w:rFonts w:hint="eastAsia" w:eastAsia="方正仿宋_GBK"/>
          <w:sz w:val="32"/>
        </w:rPr>
        <w:t>。项目总投资58080.21万元，其中环保</w:t>
      </w:r>
      <w:r>
        <w:rPr>
          <w:rFonts w:hint="eastAsia" w:eastAsia="方正仿宋_GBK"/>
          <w:sz w:val="32"/>
          <w:lang w:val="zh-CN"/>
        </w:rPr>
        <w:t>投资</w:t>
      </w:r>
      <w:r>
        <w:rPr>
          <w:rFonts w:hint="eastAsia" w:eastAsia="方正仿宋_GBK"/>
          <w:sz w:val="32"/>
        </w:rPr>
        <w:t>407.95</w:t>
      </w:r>
      <w:r>
        <w:rPr>
          <w:rFonts w:hint="eastAsia" w:eastAsia="方正仿宋_GBK"/>
          <w:sz w:val="32"/>
          <w:lang w:val="zh-CN"/>
        </w:rPr>
        <w:t>万元，环保投资占总投资</w:t>
      </w:r>
      <w:r>
        <w:rPr>
          <w:rFonts w:hint="eastAsia" w:eastAsia="方正仿宋_GBK"/>
          <w:sz w:val="32"/>
        </w:rPr>
        <w:t>0.7</w:t>
      </w:r>
      <w:r>
        <w:rPr>
          <w:rFonts w:hint="eastAsia" w:eastAsia="方正仿宋_GBK"/>
          <w:sz w:val="32"/>
          <w:lang w:val="zh-CN"/>
        </w:rPr>
        <w:t>%</w:t>
      </w:r>
      <w:r>
        <w:rPr>
          <w:rFonts w:hint="eastAsia" w:eastAsia="方正仿宋_GBK"/>
          <w:sz w:val="32"/>
        </w:rPr>
        <w:t>。</w:t>
      </w:r>
    </w:p>
    <w:p w14:paraId="4A969C38">
      <w:pPr>
        <w:kinsoku w:val="0"/>
        <w:autoSpaceDE w:val="0"/>
        <w:autoSpaceDN w:val="0"/>
        <w:spacing w:line="580" w:lineRule="exact"/>
        <w:ind w:firstLine="640" w:firstLineChars="200"/>
        <w:rPr>
          <w:rFonts w:eastAsia="方正仿宋_GBK"/>
          <w:sz w:val="32"/>
        </w:rPr>
      </w:pPr>
      <w:r>
        <w:rPr>
          <w:rFonts w:eastAsia="方正仿宋_GBK"/>
          <w:sz w:val="32"/>
        </w:rPr>
        <w:t>项目于</w:t>
      </w:r>
      <w:r>
        <w:rPr>
          <w:rFonts w:hint="eastAsia" w:eastAsia="方正仿宋_GBK"/>
          <w:sz w:val="32"/>
        </w:rPr>
        <w:t>2024年7月31日</w:t>
      </w:r>
      <w:r>
        <w:rPr>
          <w:rFonts w:eastAsia="方正仿宋_GBK"/>
          <w:sz w:val="32"/>
        </w:rPr>
        <w:t>在全国投资项目在线审批监管平台</w:t>
      </w:r>
      <w:r>
        <w:rPr>
          <w:rFonts w:hint="eastAsia" w:eastAsia="方正仿宋_GBK"/>
          <w:sz w:val="32"/>
        </w:rPr>
        <w:t>(</w:t>
      </w:r>
      <w:r>
        <w:rPr>
          <w:rFonts w:eastAsia="方正仿宋_GBK"/>
          <w:sz w:val="32"/>
        </w:rPr>
        <w:t>云南</w:t>
      </w:r>
      <w:r>
        <w:rPr>
          <w:rFonts w:hint="eastAsia" w:eastAsia="方正仿宋_GBK"/>
          <w:sz w:val="32"/>
        </w:rPr>
        <w:t>)</w:t>
      </w:r>
      <w:r>
        <w:rPr>
          <w:rFonts w:eastAsia="方正仿宋_GBK"/>
          <w:sz w:val="32"/>
        </w:rPr>
        <w:t>完成备案，并取得了《云南省固定资产投资</w:t>
      </w:r>
      <w:r>
        <w:rPr>
          <w:rFonts w:hint="eastAsia" w:eastAsia="方正仿宋_GBK"/>
          <w:sz w:val="32"/>
        </w:rPr>
        <w:t>项目</w:t>
      </w:r>
      <w:r>
        <w:rPr>
          <w:rFonts w:eastAsia="方正仿宋_GBK"/>
          <w:sz w:val="32"/>
        </w:rPr>
        <w:t>备案证》</w:t>
      </w:r>
      <w:r>
        <w:rPr>
          <w:rFonts w:hint="eastAsia" w:eastAsia="方正仿宋_GBK"/>
          <w:sz w:val="32"/>
        </w:rPr>
        <w:t>（新发改投资备案</w:t>
      </w:r>
      <w:r>
        <w:rPr>
          <w:rFonts w:hint="eastAsia" w:ascii="宋体" w:hAnsi="宋体" w:cs="宋体"/>
          <w:sz w:val="32"/>
        </w:rPr>
        <w:t>［2024］286号</w:t>
      </w:r>
      <w:r>
        <w:rPr>
          <w:rFonts w:hint="eastAsia" w:eastAsia="方正仿宋_GBK"/>
          <w:sz w:val="32"/>
        </w:rPr>
        <w:t>）</w:t>
      </w:r>
      <w:r>
        <w:rPr>
          <w:rFonts w:eastAsia="方正仿宋_GBK"/>
          <w:sz w:val="32"/>
        </w:rPr>
        <w:t>，项目代码为：</w:t>
      </w:r>
      <w:r>
        <w:rPr>
          <w:rFonts w:hint="eastAsia" w:eastAsia="方正仿宋_GBK"/>
          <w:sz w:val="32"/>
        </w:rPr>
        <w:t>2407-530427-04-01-401424</w:t>
      </w:r>
      <w:r>
        <w:rPr>
          <w:rFonts w:eastAsia="方正仿宋_GBK"/>
          <w:sz w:val="32"/>
        </w:rPr>
        <w:t>。</w:t>
      </w:r>
      <w:r>
        <w:rPr>
          <w:rFonts w:hint="eastAsia" w:eastAsia="方正仿宋_GBK"/>
          <w:sz w:val="32"/>
        </w:rPr>
        <w:t>根据《产业结构调整指导目录（2024年本）》，本项目属于其中的鼓励类第五项“新能源”中的第2条“太阳能热发电集热系统、高效率低成本太阳能光伏发电技术研发与产业化”。</w:t>
      </w:r>
    </w:p>
    <w:p w14:paraId="0DE1497B">
      <w:pPr>
        <w:kinsoku w:val="0"/>
        <w:autoSpaceDE w:val="0"/>
        <w:autoSpaceDN w:val="0"/>
        <w:snapToGrid w:val="0"/>
        <w:spacing w:line="580" w:lineRule="exact"/>
        <w:ind w:firstLine="640" w:firstLineChars="200"/>
        <w:rPr>
          <w:rFonts w:eastAsia="方正仿宋_GBK"/>
          <w:sz w:val="32"/>
          <w:szCs w:val="32"/>
        </w:rPr>
      </w:pPr>
      <w:r>
        <w:rPr>
          <w:rFonts w:eastAsia="方正仿宋_GBK"/>
          <w:sz w:val="32"/>
        </w:rPr>
        <w:t>项目实施可能对</w:t>
      </w:r>
      <w:r>
        <w:rPr>
          <w:rFonts w:hint="eastAsia" w:eastAsia="方正仿宋_GBK"/>
          <w:sz w:val="32"/>
        </w:rPr>
        <w:t>区域</w:t>
      </w:r>
      <w:r>
        <w:rPr>
          <w:rFonts w:eastAsia="方正仿宋_GBK"/>
          <w:sz w:val="32"/>
        </w:rPr>
        <w:t>生态环境、声环境、环境空气、地表水环境、地下水环境</w:t>
      </w:r>
      <w:r>
        <w:rPr>
          <w:rFonts w:hint="eastAsia" w:eastAsia="方正仿宋_GBK"/>
          <w:sz w:val="32"/>
        </w:rPr>
        <w:t>、电磁环境</w:t>
      </w:r>
      <w:r>
        <w:rPr>
          <w:rFonts w:eastAsia="方正仿宋_GBK"/>
          <w:sz w:val="32"/>
        </w:rPr>
        <w:t>等造成一定不良影响。在全面落实生态环境保护法律法规</w:t>
      </w:r>
      <w:r>
        <w:rPr>
          <w:rFonts w:hint="eastAsia" w:eastAsia="方正仿宋_GBK"/>
          <w:sz w:val="32"/>
        </w:rPr>
        <w:t>、标准及相关</w:t>
      </w:r>
      <w:r>
        <w:rPr>
          <w:rFonts w:eastAsia="方正仿宋_GBK"/>
          <w:sz w:val="32"/>
        </w:rPr>
        <w:t>规划、《报告</w:t>
      </w:r>
      <w:r>
        <w:rPr>
          <w:rFonts w:hint="eastAsia" w:eastAsia="方正仿宋_GBK"/>
          <w:sz w:val="32"/>
        </w:rPr>
        <w:t>表</w:t>
      </w:r>
      <w:r>
        <w:rPr>
          <w:rFonts w:eastAsia="方正仿宋_GBK"/>
          <w:sz w:val="32"/>
        </w:rPr>
        <w:t>》和本批复提出的各项防治污染、防止生态破坏的措施的前提下，项目建设所产生的不良生态环境影响可以得到一定程度的预防和减轻。从生态环境保护的角度，原则同意《报告</w:t>
      </w:r>
      <w:r>
        <w:rPr>
          <w:rFonts w:hint="eastAsia" w:eastAsia="方正仿宋_GBK"/>
          <w:sz w:val="32"/>
        </w:rPr>
        <w:t>表</w:t>
      </w:r>
      <w:r>
        <w:rPr>
          <w:rFonts w:eastAsia="方正仿宋_GBK"/>
          <w:sz w:val="32"/>
        </w:rPr>
        <w:t>》</w:t>
      </w:r>
      <w:r>
        <w:rPr>
          <w:rFonts w:hint="eastAsia" w:eastAsia="方正仿宋_GBK"/>
          <w:sz w:val="32"/>
        </w:rPr>
        <w:t>的</w:t>
      </w:r>
      <w:r>
        <w:rPr>
          <w:rFonts w:eastAsia="方正仿宋_GBK"/>
          <w:sz w:val="32"/>
        </w:rPr>
        <w:t>环境影响评价总体结论和各项生态环境保护措施。</w:t>
      </w:r>
      <w:r>
        <w:rPr>
          <w:rFonts w:eastAsia="方正仿宋_GBK"/>
          <w:sz w:val="32"/>
          <w:szCs w:val="32"/>
        </w:rPr>
        <w:t>你</w:t>
      </w:r>
      <w:r>
        <w:rPr>
          <w:rFonts w:hint="eastAsia" w:eastAsia="方正仿宋_GBK"/>
          <w:sz w:val="32"/>
          <w:szCs w:val="32"/>
        </w:rPr>
        <w:t>单位应当</w:t>
      </w:r>
      <w:r>
        <w:rPr>
          <w:rFonts w:eastAsia="方正仿宋_GBK"/>
          <w:sz w:val="32"/>
          <w:szCs w:val="32"/>
        </w:rPr>
        <w:t>全面落实</w:t>
      </w:r>
      <w:r>
        <w:rPr>
          <w:rFonts w:hint="eastAsia" w:eastAsia="方正仿宋_GBK"/>
          <w:sz w:val="32"/>
          <w:szCs w:val="32"/>
        </w:rPr>
        <w:t>生态环境保护主体责任，防止、减少环境污染和生态破坏，对所造成的损害依法承担责任。</w:t>
      </w:r>
    </w:p>
    <w:p w14:paraId="11AA0B5D">
      <w:pPr>
        <w:kinsoku w:val="0"/>
        <w:autoSpaceDE w:val="0"/>
        <w:autoSpaceDN w:val="0"/>
        <w:snapToGrid w:val="0"/>
        <w:spacing w:line="580" w:lineRule="exact"/>
        <w:ind w:firstLine="640" w:firstLineChars="200"/>
        <w:rPr>
          <w:rFonts w:eastAsia="方正仿宋_GBK"/>
          <w:sz w:val="32"/>
          <w:szCs w:val="32"/>
        </w:rPr>
      </w:pPr>
      <w:r>
        <w:rPr>
          <w:rFonts w:hint="eastAsia" w:ascii="方正黑体_GBK" w:hAnsi="方正黑体_GBK" w:eastAsia="方正黑体_GBK" w:cs="方正黑体_GBK"/>
          <w:sz w:val="32"/>
          <w:szCs w:val="32"/>
        </w:rPr>
        <w:t>二、项目在工程设计、建设和运营过程中落实《报告表》提出的各项生态环境保护措施和要求的同时，应重点做好以下工作</w:t>
      </w:r>
    </w:p>
    <w:p w14:paraId="6C29E8C6">
      <w:pPr>
        <w:kinsoku w:val="0"/>
        <w:autoSpaceDE w:val="0"/>
        <w:autoSpaceDN w:val="0"/>
        <w:snapToGrid w:val="0"/>
        <w:spacing w:line="580" w:lineRule="exact"/>
        <w:ind w:firstLine="640" w:firstLineChars="200"/>
        <w:rPr>
          <w:rFonts w:eastAsia="方正仿宋_GBK"/>
          <w:sz w:val="32"/>
        </w:rPr>
      </w:pPr>
      <w:r>
        <w:rPr>
          <w:rFonts w:hint="eastAsia" w:eastAsia="方正仿宋_GBK"/>
          <w:sz w:val="32"/>
        </w:rPr>
        <w:t>（一）严格做好施工期的各项环境保护工作，落实扬尘、废水、固废、噪声等污染防治措施，清洁文明施工，</w:t>
      </w:r>
      <w:r>
        <w:rPr>
          <w:rFonts w:eastAsia="方正仿宋_GBK"/>
          <w:bCs/>
          <w:kern w:val="0"/>
          <w:sz w:val="32"/>
          <w:szCs w:val="32"/>
        </w:rPr>
        <w:t>严格实施项目水土保持各项措施，有效控制施工开挖造成的水土流失</w:t>
      </w:r>
      <w:r>
        <w:rPr>
          <w:rFonts w:hint="eastAsia" w:eastAsia="方正仿宋_GBK"/>
          <w:bCs/>
          <w:kern w:val="0"/>
          <w:sz w:val="32"/>
          <w:szCs w:val="32"/>
        </w:rPr>
        <w:t>，</w:t>
      </w:r>
      <w:r>
        <w:rPr>
          <w:rFonts w:eastAsia="方正仿宋_GBK"/>
          <w:bCs/>
          <w:sz w:val="32"/>
          <w:szCs w:val="32"/>
        </w:rPr>
        <w:t>严防施工期对环境保护目标及周围环境造成</w:t>
      </w:r>
      <w:r>
        <w:rPr>
          <w:rFonts w:hint="eastAsia" w:eastAsia="方正仿宋_GBK"/>
          <w:bCs/>
          <w:sz w:val="32"/>
          <w:szCs w:val="32"/>
        </w:rPr>
        <w:t>污染</w:t>
      </w:r>
      <w:r>
        <w:rPr>
          <w:rFonts w:eastAsia="方正仿宋_GBK"/>
          <w:bCs/>
          <w:sz w:val="32"/>
          <w:szCs w:val="32"/>
        </w:rPr>
        <w:t>，对生态环境造成破坏。</w:t>
      </w:r>
    </w:p>
    <w:p w14:paraId="58192150">
      <w:pPr>
        <w:kinsoku w:val="0"/>
        <w:autoSpaceDE w:val="0"/>
        <w:autoSpaceDN w:val="0"/>
        <w:snapToGrid w:val="0"/>
        <w:spacing w:line="580" w:lineRule="exact"/>
        <w:ind w:firstLine="640" w:firstLineChars="200"/>
        <w:rPr>
          <w:rFonts w:eastAsia="方正仿宋_GBK"/>
          <w:bCs/>
          <w:kern w:val="0"/>
          <w:sz w:val="32"/>
          <w:szCs w:val="32"/>
        </w:rPr>
      </w:pPr>
      <w:r>
        <w:rPr>
          <w:rFonts w:eastAsia="方正仿宋_GBK"/>
          <w:sz w:val="32"/>
        </w:rPr>
        <w:t>（</w:t>
      </w:r>
      <w:r>
        <w:rPr>
          <w:rFonts w:hint="eastAsia" w:eastAsia="方正仿宋_GBK"/>
          <w:sz w:val="32"/>
        </w:rPr>
        <w:t>二</w:t>
      </w:r>
      <w:r>
        <w:rPr>
          <w:rFonts w:eastAsia="方正仿宋_GBK"/>
          <w:sz w:val="32"/>
        </w:rPr>
        <w:t>）</w:t>
      </w:r>
      <w:r>
        <w:rPr>
          <w:rFonts w:hint="eastAsia" w:eastAsia="方正仿宋_GBK"/>
          <w:sz w:val="32"/>
        </w:rPr>
        <w:t>严格做好各项生态保护措施</w:t>
      </w:r>
      <w:r>
        <w:rPr>
          <w:rFonts w:eastAsia="方正仿宋_GBK"/>
          <w:sz w:val="32"/>
        </w:rPr>
        <w:t>。</w:t>
      </w:r>
      <w:r>
        <w:rPr>
          <w:rFonts w:eastAsia="方正仿宋_GBK"/>
          <w:bCs/>
          <w:kern w:val="0"/>
          <w:sz w:val="32"/>
          <w:szCs w:val="32"/>
        </w:rPr>
        <w:t>严格执行《云南省能源局关于进一步支持光伏扶贫和规范光伏发电产业用地的通知》</w:t>
      </w:r>
      <w:r>
        <w:rPr>
          <w:rFonts w:hint="eastAsia" w:eastAsia="方正仿宋_GBK"/>
          <w:bCs/>
          <w:kern w:val="0"/>
          <w:sz w:val="32"/>
          <w:szCs w:val="32"/>
        </w:rPr>
        <w:t xml:space="preserve"> </w:t>
      </w:r>
      <w:r>
        <w:rPr>
          <w:rFonts w:eastAsia="方正仿宋_GBK"/>
          <w:bCs/>
          <w:kern w:val="0"/>
          <w:sz w:val="32"/>
          <w:szCs w:val="32"/>
        </w:rPr>
        <w:t>（云自然资〔2019〕196号），光伏组件严格执行最低沿高于地面2.5m、桩基间列间距大于4m、行间距大于6.5m的架设要求，不破坏林业或农业生产条件，除桩基用地外，严禁硬化地面、破坏耕作层</w:t>
      </w:r>
      <w:r>
        <w:rPr>
          <w:rFonts w:hint="eastAsia" w:eastAsia="方正仿宋_GBK"/>
          <w:bCs/>
          <w:kern w:val="0"/>
          <w:sz w:val="32"/>
          <w:szCs w:val="32"/>
        </w:rPr>
        <w:t>。</w:t>
      </w:r>
    </w:p>
    <w:p w14:paraId="769D79E8">
      <w:pPr>
        <w:kinsoku w:val="0"/>
        <w:autoSpaceDE w:val="0"/>
        <w:autoSpaceDN w:val="0"/>
        <w:snapToGrid w:val="0"/>
        <w:spacing w:line="580" w:lineRule="exact"/>
        <w:ind w:firstLine="640" w:firstLineChars="200"/>
        <w:rPr>
          <w:rFonts w:eastAsia="方正仿宋_GBK"/>
          <w:bCs/>
          <w:kern w:val="0"/>
          <w:sz w:val="32"/>
          <w:szCs w:val="32"/>
        </w:rPr>
      </w:pPr>
      <w:r>
        <w:rPr>
          <w:rFonts w:eastAsia="方正仿宋_GBK"/>
          <w:bCs/>
          <w:kern w:val="0"/>
          <w:sz w:val="32"/>
          <w:szCs w:val="32"/>
        </w:rPr>
        <w:t>严格执行《云南省林业和草原局云南省能源局关于进一步规范光伏复合项目使用林草地有关事项的通知》（云林规〔2021〕5号），运营期电池组件阵列下方原有植被盖度达到30%以上，且具备自然恢复条件的，以自然恢复植被为主，不采取开挖补种、更替树种、除草等人工干预措施；原有植被盖度达到20%以上30%以下，且具备自然恢复条件的，采取补植补种修复植被；原有植被盖度低于20%的，采取人工种草等措施改良植被及土壤条件，防止水土流失和土壤侵蚀。做好项目区的森林草原防火工作，重点加强项目运营、检修期间的野外火源管理，落实森林草原防火管护人员和措施。</w:t>
      </w:r>
    </w:p>
    <w:p w14:paraId="553BAFFA">
      <w:pPr>
        <w:kinsoku w:val="0"/>
        <w:autoSpaceDE w:val="0"/>
        <w:autoSpaceDN w:val="0"/>
        <w:snapToGrid w:val="0"/>
        <w:spacing w:line="580" w:lineRule="exact"/>
        <w:ind w:firstLine="640" w:firstLineChars="200"/>
        <w:rPr>
          <w:rFonts w:eastAsia="方正仿宋_GBK"/>
          <w:bCs/>
          <w:kern w:val="0"/>
          <w:sz w:val="32"/>
          <w:szCs w:val="32"/>
        </w:rPr>
      </w:pPr>
      <w:r>
        <w:rPr>
          <w:rFonts w:eastAsia="方正仿宋_GBK"/>
          <w:bCs/>
          <w:kern w:val="0"/>
          <w:sz w:val="32"/>
          <w:szCs w:val="32"/>
        </w:rPr>
        <w:t>加强运维管理人员和场地内工作人员的</w:t>
      </w:r>
      <w:r>
        <w:rPr>
          <w:rFonts w:hint="eastAsia" w:eastAsia="方正仿宋_GBK"/>
          <w:bCs/>
          <w:kern w:val="0"/>
          <w:sz w:val="32"/>
          <w:szCs w:val="32"/>
        </w:rPr>
        <w:t>生态环境保护</w:t>
      </w:r>
      <w:r>
        <w:rPr>
          <w:rFonts w:eastAsia="方正仿宋_GBK"/>
          <w:bCs/>
          <w:kern w:val="0"/>
          <w:sz w:val="32"/>
          <w:szCs w:val="32"/>
        </w:rPr>
        <w:t>宣传教育和监督管理；禁止引入外来有害生物，禁止管理人员和场地内工作人员破坏</w:t>
      </w:r>
      <w:r>
        <w:rPr>
          <w:rFonts w:hint="eastAsia" w:eastAsia="方正仿宋_GBK"/>
          <w:bCs/>
          <w:kern w:val="0"/>
          <w:sz w:val="32"/>
          <w:szCs w:val="32"/>
        </w:rPr>
        <w:t>生态</w:t>
      </w:r>
      <w:r>
        <w:rPr>
          <w:rFonts w:eastAsia="方正仿宋_GBK"/>
          <w:bCs/>
          <w:kern w:val="0"/>
          <w:sz w:val="32"/>
          <w:szCs w:val="32"/>
        </w:rPr>
        <w:t>环境。</w:t>
      </w:r>
    </w:p>
    <w:p w14:paraId="2931A152">
      <w:pPr>
        <w:kinsoku w:val="0"/>
        <w:autoSpaceDE w:val="0"/>
        <w:autoSpaceDN w:val="0"/>
        <w:spacing w:line="580" w:lineRule="exact"/>
        <w:ind w:firstLine="640" w:firstLineChars="200"/>
        <w:rPr>
          <w:rFonts w:eastAsia="方正仿宋_GBK"/>
          <w:bCs/>
          <w:kern w:val="0"/>
          <w:sz w:val="32"/>
          <w:szCs w:val="32"/>
        </w:rPr>
      </w:pPr>
      <w:r>
        <w:rPr>
          <w:rFonts w:eastAsia="方正仿宋_GBK"/>
          <w:bCs/>
          <w:kern w:val="0"/>
          <w:sz w:val="32"/>
          <w:szCs w:val="32"/>
        </w:rPr>
        <w:t>（</w:t>
      </w:r>
      <w:r>
        <w:rPr>
          <w:rFonts w:hint="eastAsia" w:eastAsia="方正仿宋_GBK"/>
          <w:bCs/>
          <w:kern w:val="0"/>
          <w:sz w:val="32"/>
          <w:szCs w:val="32"/>
        </w:rPr>
        <w:t>三</w:t>
      </w:r>
      <w:r>
        <w:rPr>
          <w:rFonts w:eastAsia="方正仿宋_GBK"/>
          <w:bCs/>
          <w:kern w:val="0"/>
          <w:sz w:val="32"/>
          <w:szCs w:val="32"/>
        </w:rPr>
        <w:t>）落实地表水</w:t>
      </w:r>
      <w:r>
        <w:rPr>
          <w:rFonts w:hint="eastAsia" w:eastAsia="方正仿宋_GBK"/>
          <w:bCs/>
          <w:kern w:val="0"/>
          <w:sz w:val="32"/>
          <w:szCs w:val="32"/>
        </w:rPr>
        <w:t>环境保护</w:t>
      </w:r>
      <w:r>
        <w:rPr>
          <w:rFonts w:eastAsia="方正仿宋_GBK"/>
          <w:bCs/>
          <w:kern w:val="0"/>
          <w:sz w:val="32"/>
          <w:szCs w:val="32"/>
        </w:rPr>
        <w:t>措施。</w:t>
      </w:r>
      <w:r>
        <w:rPr>
          <w:rFonts w:hint="eastAsia" w:eastAsia="方正仿宋_GBK"/>
          <w:bCs/>
          <w:kern w:val="0"/>
          <w:sz w:val="32"/>
          <w:szCs w:val="32"/>
        </w:rPr>
        <w:t>项目运营期生活废水经化粪池（4.5m</w:t>
      </w:r>
      <w:r>
        <w:rPr>
          <w:rFonts w:hint="eastAsia" w:eastAsia="方正仿宋_GBK"/>
          <w:bCs/>
          <w:kern w:val="0"/>
          <w:sz w:val="32"/>
          <w:szCs w:val="32"/>
          <w:vertAlign w:val="superscript"/>
        </w:rPr>
        <w:t>3</w:t>
      </w:r>
      <w:r>
        <w:rPr>
          <w:rFonts w:hint="eastAsia" w:eastAsia="方正仿宋_GBK"/>
          <w:bCs/>
          <w:kern w:val="0"/>
          <w:sz w:val="32"/>
          <w:szCs w:val="32"/>
        </w:rPr>
        <w:t>）+一体化污水处理设备（处理规模为</w:t>
      </w:r>
      <w:r>
        <w:rPr>
          <w:rFonts w:eastAsia="方正仿宋_GBK"/>
          <w:bCs/>
          <w:kern w:val="0"/>
          <w:sz w:val="32"/>
          <w:szCs w:val="32"/>
        </w:rPr>
        <w:t>2m</w:t>
      </w:r>
      <w:r>
        <w:rPr>
          <w:rFonts w:eastAsia="方正仿宋_GBK"/>
          <w:bCs/>
          <w:kern w:val="0"/>
          <w:sz w:val="32"/>
          <w:szCs w:val="32"/>
          <w:vertAlign w:val="superscript"/>
        </w:rPr>
        <w:t>3</w:t>
      </w:r>
      <w:r>
        <w:rPr>
          <w:rFonts w:eastAsia="方正仿宋_GBK"/>
          <w:bCs/>
          <w:kern w:val="0"/>
          <w:sz w:val="32"/>
          <w:szCs w:val="32"/>
        </w:rPr>
        <w:t>/d</w:t>
      </w:r>
      <w:r>
        <w:rPr>
          <w:rFonts w:hint="eastAsia" w:eastAsia="方正仿宋_GBK"/>
          <w:bCs/>
          <w:kern w:val="0"/>
          <w:sz w:val="32"/>
          <w:szCs w:val="32"/>
        </w:rPr>
        <w:t>）处理达到《城市污水再生利用城市杂用水水质》（GB/T18920-2020）中绿化标准后回用于升压站区绿化用水，并设置</w:t>
      </w:r>
      <w:r>
        <w:rPr>
          <w:rFonts w:eastAsia="方正仿宋_GBK"/>
          <w:bCs/>
          <w:kern w:val="0"/>
          <w:sz w:val="32"/>
          <w:szCs w:val="32"/>
        </w:rPr>
        <w:t>15m</w:t>
      </w:r>
      <w:r>
        <w:rPr>
          <w:rFonts w:eastAsia="方正仿宋_GBK"/>
          <w:bCs/>
          <w:kern w:val="0"/>
          <w:sz w:val="32"/>
          <w:szCs w:val="32"/>
          <w:vertAlign w:val="superscript"/>
        </w:rPr>
        <w:t>3</w:t>
      </w:r>
      <w:r>
        <w:rPr>
          <w:rFonts w:hint="eastAsia" w:eastAsia="方正仿宋_GBK"/>
          <w:bCs/>
          <w:kern w:val="0"/>
          <w:sz w:val="32"/>
          <w:szCs w:val="32"/>
        </w:rPr>
        <w:t>收集池，用于雨天收集生活污水，待晴天回用于植被灌溉，不外排。食堂设置隔油池，其处理有效容积不小于1.5m</w:t>
      </w:r>
      <w:r>
        <w:rPr>
          <w:rFonts w:hint="eastAsia" w:eastAsia="方正仿宋_GBK"/>
          <w:bCs/>
          <w:kern w:val="0"/>
          <w:sz w:val="32"/>
          <w:szCs w:val="32"/>
          <w:vertAlign w:val="superscript"/>
        </w:rPr>
        <w:t>3</w:t>
      </w:r>
      <w:r>
        <w:rPr>
          <w:rFonts w:hint="eastAsia" w:eastAsia="方正仿宋_GBK"/>
          <w:bCs/>
          <w:kern w:val="0"/>
          <w:sz w:val="32"/>
          <w:szCs w:val="32"/>
        </w:rPr>
        <w:t>。光伏板清洗废水经沉淀后回用于光伏板区底层林草植被浇灌用水，不外排。</w:t>
      </w:r>
    </w:p>
    <w:p w14:paraId="01F64626">
      <w:pPr>
        <w:kinsoku w:val="0"/>
        <w:autoSpaceDE w:val="0"/>
        <w:autoSpaceDN w:val="0"/>
        <w:snapToGrid w:val="0"/>
        <w:spacing w:line="580" w:lineRule="exact"/>
        <w:ind w:firstLine="640" w:firstLineChars="200"/>
        <w:rPr>
          <w:rFonts w:eastAsia="方正仿宋_GBK"/>
          <w:bCs/>
          <w:kern w:val="0"/>
          <w:sz w:val="32"/>
          <w:szCs w:val="32"/>
        </w:rPr>
      </w:pPr>
      <w:r>
        <w:rPr>
          <w:rFonts w:eastAsia="方正仿宋_GBK"/>
          <w:bCs/>
          <w:kern w:val="0"/>
          <w:sz w:val="32"/>
          <w:szCs w:val="32"/>
        </w:rPr>
        <w:t>（四）</w:t>
      </w:r>
      <w:r>
        <w:rPr>
          <w:rFonts w:hint="eastAsia" w:eastAsia="方正仿宋_GBK"/>
          <w:bCs/>
          <w:kern w:val="0"/>
          <w:sz w:val="32"/>
          <w:szCs w:val="32"/>
        </w:rPr>
        <w:t>严格落实噪声污染防治措施</w:t>
      </w:r>
      <w:r>
        <w:rPr>
          <w:rFonts w:eastAsia="方正仿宋_GBK"/>
          <w:bCs/>
          <w:kern w:val="0"/>
          <w:sz w:val="32"/>
          <w:szCs w:val="32"/>
        </w:rPr>
        <w:t>。</w:t>
      </w:r>
      <w:r>
        <w:rPr>
          <w:rFonts w:hint="eastAsia" w:eastAsia="方正仿宋_GBK"/>
          <w:bCs/>
          <w:kern w:val="0"/>
          <w:sz w:val="32"/>
          <w:szCs w:val="32"/>
        </w:rPr>
        <w:t>对变压器、逆变器及其它输电设施应优先选用低噪声设备，并采取隔声、消声、吸声等控制措施，同时加强区域绿化，确保厂界噪声达到</w:t>
      </w:r>
      <w:r>
        <w:rPr>
          <w:rFonts w:eastAsia="方正仿宋_GBK"/>
          <w:bCs/>
          <w:kern w:val="0"/>
          <w:sz w:val="32"/>
          <w:szCs w:val="32"/>
        </w:rPr>
        <w:t>《工业企业厂界环境噪声排放标准》（GB12348-2008）</w:t>
      </w:r>
      <w:r>
        <w:rPr>
          <w:rFonts w:hint="eastAsia" w:eastAsia="方正仿宋_GBK"/>
          <w:bCs/>
          <w:kern w:val="0"/>
          <w:sz w:val="32"/>
          <w:szCs w:val="32"/>
        </w:rPr>
        <w:t>1</w:t>
      </w:r>
      <w:r>
        <w:rPr>
          <w:rFonts w:eastAsia="方正仿宋_GBK"/>
          <w:bCs/>
          <w:kern w:val="0"/>
          <w:sz w:val="32"/>
          <w:szCs w:val="32"/>
        </w:rPr>
        <w:t>类区标准</w:t>
      </w:r>
      <w:r>
        <w:rPr>
          <w:rFonts w:hint="eastAsia" w:eastAsia="方正仿宋_GBK"/>
          <w:bCs/>
          <w:kern w:val="0"/>
          <w:sz w:val="32"/>
          <w:szCs w:val="32"/>
        </w:rPr>
        <w:t>。</w:t>
      </w:r>
    </w:p>
    <w:p w14:paraId="004B3DF3">
      <w:pPr>
        <w:kinsoku w:val="0"/>
        <w:autoSpaceDE w:val="0"/>
        <w:autoSpaceDN w:val="0"/>
        <w:snapToGrid w:val="0"/>
        <w:spacing w:line="580" w:lineRule="exact"/>
        <w:ind w:firstLine="640" w:firstLineChars="200"/>
        <w:rPr>
          <w:rFonts w:eastAsia="方正仿宋_GBK"/>
          <w:bCs/>
          <w:kern w:val="0"/>
          <w:sz w:val="32"/>
          <w:szCs w:val="32"/>
        </w:rPr>
      </w:pPr>
      <w:r>
        <w:rPr>
          <w:rFonts w:hint="eastAsia" w:ascii="方正仿宋_GBK" w:hAnsi="方正仿宋_GBK" w:eastAsia="方正仿宋_GBK" w:cs="方正仿宋_GBK"/>
          <w:sz w:val="32"/>
        </w:rPr>
        <w:t>（五）严格落实固体废物分类处置和综合利用措施。项目生活垃圾经收集后与升压站生活垃圾一起委托环卫部门处置；食堂隔油池产生的废油脂定期清理，委托有资质单位清运处置；化粪池污泥和一体化污水处理站污泥定期委托当地环卫部门清掏处置；废弃太</w:t>
      </w:r>
      <w:r>
        <w:rPr>
          <w:rFonts w:hint="eastAsia" w:eastAsia="方正仿宋_GBK"/>
          <w:bCs/>
          <w:kern w:val="0"/>
          <w:sz w:val="32"/>
          <w:szCs w:val="32"/>
        </w:rPr>
        <w:t>阳能板收集后暂存于升压站内一间废旧组件设备收储间暂存（面积33m</w:t>
      </w:r>
      <w:r>
        <w:rPr>
          <w:rFonts w:hint="eastAsia" w:eastAsia="方正仿宋_GBK"/>
          <w:bCs/>
          <w:kern w:val="0"/>
          <w:sz w:val="32"/>
          <w:szCs w:val="32"/>
          <w:vertAlign w:val="superscript"/>
        </w:rPr>
        <w:t>2</w:t>
      </w:r>
      <w:r>
        <w:rPr>
          <w:rFonts w:hint="eastAsia" w:eastAsia="方正仿宋_GBK"/>
          <w:bCs/>
          <w:kern w:val="0"/>
          <w:sz w:val="32"/>
          <w:szCs w:val="32"/>
        </w:rPr>
        <w:t>），最终由厂家回收处置。废蓄电池、废变压油属于危险废物，贮存于升压站危险废物贮存库（面积10m</w:t>
      </w:r>
      <w:r>
        <w:rPr>
          <w:rFonts w:hint="eastAsia" w:eastAsia="方正仿宋_GBK"/>
          <w:bCs/>
          <w:kern w:val="0"/>
          <w:sz w:val="32"/>
          <w:szCs w:val="32"/>
          <w:vertAlign w:val="superscript"/>
        </w:rPr>
        <w:t>2</w:t>
      </w:r>
      <w:r>
        <w:rPr>
          <w:rFonts w:hint="eastAsia" w:eastAsia="方正仿宋_GBK"/>
          <w:bCs/>
          <w:kern w:val="0"/>
          <w:sz w:val="32"/>
          <w:szCs w:val="32"/>
        </w:rPr>
        <w:t>）。危险废物收集、暂存及转运过程中的管理应严格按照《危险废物贮存污染控制标准》（GB18597-2023）、《危险废物转移管理办法》（部令第23号）等规定执行，严格执行危险废物转移联单制，并做好台账记录。产生危险废物的单位应于每年3月1日前依法通过云南省固体废物管理信息系统完成危险废物申报登记、经营单位年报上报等工作。</w:t>
      </w:r>
    </w:p>
    <w:p w14:paraId="1F7DFEF3">
      <w:pPr>
        <w:kinsoku w:val="0"/>
        <w:autoSpaceDE w:val="0"/>
        <w:autoSpaceDN w:val="0"/>
        <w:snapToGrid w:val="0"/>
        <w:spacing w:line="580" w:lineRule="exact"/>
        <w:ind w:firstLine="640" w:firstLineChars="200"/>
        <w:rPr>
          <w:rFonts w:eastAsia="方正仿宋_GBK"/>
          <w:color w:val="0000FF"/>
          <w:sz w:val="32"/>
        </w:rPr>
      </w:pPr>
      <w:r>
        <w:rPr>
          <w:rFonts w:hint="eastAsia" w:eastAsia="方正仿宋_GBK"/>
          <w:sz w:val="32"/>
        </w:rPr>
        <w:t>（六）</w:t>
      </w:r>
      <w:r>
        <w:rPr>
          <w:rFonts w:eastAsia="方正仿宋_GBK"/>
          <w:sz w:val="32"/>
        </w:rPr>
        <w:t>加强环境污染风险防范和应急管理。按照《企业事业单位突发环境事件应急预案备案管理办法</w:t>
      </w:r>
      <w:r>
        <w:rPr>
          <w:rFonts w:hint="eastAsia" w:eastAsia="方正仿宋_GBK"/>
          <w:sz w:val="32"/>
        </w:rPr>
        <w:t>(</w:t>
      </w:r>
      <w:r>
        <w:rPr>
          <w:rFonts w:eastAsia="方正仿宋_GBK"/>
          <w:sz w:val="32"/>
        </w:rPr>
        <w:t>试行</w:t>
      </w:r>
      <w:r>
        <w:rPr>
          <w:rFonts w:hint="eastAsia" w:eastAsia="方正仿宋_GBK"/>
          <w:sz w:val="32"/>
        </w:rPr>
        <w:t>)</w:t>
      </w:r>
      <w:r>
        <w:rPr>
          <w:rFonts w:eastAsia="方正仿宋_GBK"/>
          <w:sz w:val="32"/>
        </w:rPr>
        <w:t>》等要求，</w:t>
      </w:r>
      <w:r>
        <w:rPr>
          <w:rFonts w:eastAsia="方正仿宋_GBK"/>
          <w:bCs/>
          <w:sz w:val="32"/>
          <w:szCs w:val="32"/>
        </w:rPr>
        <w:t>严格落实《报告表》提出的各项环境风险防治措施，</w:t>
      </w:r>
      <w:r>
        <w:rPr>
          <w:rFonts w:eastAsia="方正仿宋_GBK"/>
          <w:sz w:val="32"/>
          <w:szCs w:val="32"/>
        </w:rPr>
        <w:t>制定</w:t>
      </w:r>
      <w:r>
        <w:rPr>
          <w:rFonts w:hint="eastAsia" w:eastAsia="方正仿宋_GBK"/>
          <w:sz w:val="32"/>
          <w:szCs w:val="32"/>
        </w:rPr>
        <w:t>、</w:t>
      </w:r>
      <w:r>
        <w:rPr>
          <w:rFonts w:eastAsia="方正仿宋_GBK"/>
          <w:sz w:val="32"/>
          <w:szCs w:val="32"/>
        </w:rPr>
        <w:t>完善环境风险防范和环境安全隐患排查治理措施，按照有关规定建立环境安全隐患制度，</w:t>
      </w:r>
      <w:r>
        <w:rPr>
          <w:rFonts w:eastAsia="方正仿宋_GBK"/>
          <w:sz w:val="32"/>
        </w:rPr>
        <w:t>落实应急物资和经费</w:t>
      </w:r>
      <w:r>
        <w:rPr>
          <w:rFonts w:hint="eastAsia" w:eastAsia="方正仿宋_GBK"/>
          <w:sz w:val="32"/>
        </w:rPr>
        <w:t>，</w:t>
      </w:r>
      <w:r>
        <w:rPr>
          <w:rFonts w:eastAsia="方正仿宋_GBK"/>
          <w:sz w:val="32"/>
        </w:rPr>
        <w:t>建立应急培训档案</w:t>
      </w:r>
      <w:r>
        <w:rPr>
          <w:rFonts w:hint="eastAsia" w:eastAsia="方正仿宋_GBK"/>
          <w:sz w:val="32"/>
        </w:rPr>
        <w:t>和</w:t>
      </w:r>
      <w:r>
        <w:rPr>
          <w:rFonts w:eastAsia="方正仿宋_GBK"/>
          <w:sz w:val="32"/>
          <w:szCs w:val="32"/>
        </w:rPr>
        <w:t>隐患排查治理档案，及时发现并消除环境安全隐患</w:t>
      </w:r>
      <w:r>
        <w:rPr>
          <w:rFonts w:hint="eastAsia" w:eastAsia="方正仿宋_GBK"/>
          <w:sz w:val="32"/>
          <w:szCs w:val="32"/>
        </w:rPr>
        <w:t>，</w:t>
      </w:r>
      <w:r>
        <w:rPr>
          <w:rFonts w:eastAsia="方正仿宋_GBK"/>
          <w:bCs/>
          <w:sz w:val="32"/>
          <w:szCs w:val="32"/>
        </w:rPr>
        <w:t>严防突发环境事故发生</w:t>
      </w:r>
      <w:r>
        <w:rPr>
          <w:rFonts w:hint="eastAsia" w:eastAsia="方正仿宋_GBK"/>
          <w:bCs/>
          <w:sz w:val="32"/>
          <w:szCs w:val="32"/>
        </w:rPr>
        <w:t>，</w:t>
      </w:r>
      <w:r>
        <w:rPr>
          <w:rFonts w:eastAsia="方正仿宋_GBK"/>
          <w:bCs/>
          <w:sz w:val="32"/>
          <w:szCs w:val="32"/>
        </w:rPr>
        <w:t>编制突发环境事件（事故）应急预案报市生态环境局新平分</w:t>
      </w:r>
      <w:r>
        <w:rPr>
          <w:rFonts w:eastAsia="方正仿宋_GBK"/>
          <w:sz w:val="32"/>
          <w:szCs w:val="32"/>
        </w:rPr>
        <w:t>局备案。</w:t>
      </w:r>
      <w:r>
        <w:rPr>
          <w:rFonts w:hint="eastAsia" w:eastAsia="方正仿宋_GBK"/>
          <w:sz w:val="32"/>
          <w:szCs w:val="32"/>
        </w:rPr>
        <w:t>升压站设置1个50m</w:t>
      </w:r>
      <w:r>
        <w:rPr>
          <w:rFonts w:hint="eastAsia" w:eastAsia="方正仿宋_GBK"/>
          <w:sz w:val="32"/>
          <w:szCs w:val="32"/>
          <w:vertAlign w:val="superscript"/>
        </w:rPr>
        <w:t>3</w:t>
      </w:r>
      <w:r>
        <w:rPr>
          <w:rFonts w:hint="eastAsia" w:eastAsia="方正仿宋_GBK"/>
          <w:sz w:val="32"/>
          <w:szCs w:val="32"/>
        </w:rPr>
        <w:t>事故油池，在每个</w:t>
      </w:r>
      <w:r>
        <w:rPr>
          <w:rFonts w:eastAsia="方正仿宋_GBK"/>
          <w:sz w:val="32"/>
          <w:szCs w:val="32"/>
        </w:rPr>
        <w:t>箱变旁</w:t>
      </w:r>
      <w:r>
        <w:rPr>
          <w:rFonts w:hint="eastAsia" w:eastAsia="方正仿宋_GBK"/>
          <w:sz w:val="32"/>
          <w:szCs w:val="32"/>
        </w:rPr>
        <w:t>设置</w:t>
      </w:r>
      <w:r>
        <w:rPr>
          <w:rFonts w:eastAsia="方正仿宋_GBK"/>
          <w:sz w:val="32"/>
          <w:szCs w:val="32"/>
        </w:rPr>
        <w:t>箱变事故油池</w:t>
      </w:r>
      <w:r>
        <w:rPr>
          <w:rFonts w:hint="eastAsia" w:eastAsia="方正仿宋_GBK"/>
          <w:sz w:val="32"/>
          <w:szCs w:val="32"/>
        </w:rPr>
        <w:t>（3.6</w:t>
      </w:r>
      <w:r>
        <w:rPr>
          <w:rFonts w:eastAsia="方正仿宋_GBK"/>
          <w:sz w:val="32"/>
          <w:szCs w:val="32"/>
        </w:rPr>
        <w:t>m³</w:t>
      </w:r>
      <w:r>
        <w:rPr>
          <w:rFonts w:hint="eastAsia" w:eastAsia="方正仿宋_GBK"/>
          <w:sz w:val="32"/>
          <w:szCs w:val="32"/>
        </w:rPr>
        <w:t>/个），</w:t>
      </w:r>
      <w:r>
        <w:rPr>
          <w:rFonts w:eastAsia="方正仿宋_GBK"/>
          <w:sz w:val="32"/>
          <w:szCs w:val="32"/>
        </w:rPr>
        <w:t>共</w:t>
      </w:r>
      <w:r>
        <w:rPr>
          <w:rFonts w:hint="eastAsia" w:eastAsia="方正仿宋_GBK"/>
          <w:sz w:val="32"/>
          <w:szCs w:val="32"/>
        </w:rPr>
        <w:t>46</w:t>
      </w:r>
      <w:r>
        <w:rPr>
          <w:rFonts w:eastAsia="方正仿宋_GBK"/>
          <w:sz w:val="32"/>
          <w:szCs w:val="32"/>
        </w:rPr>
        <w:t>个。</w:t>
      </w:r>
    </w:p>
    <w:p w14:paraId="6373126A">
      <w:pPr>
        <w:kinsoku w:val="0"/>
        <w:autoSpaceDE w:val="0"/>
        <w:autoSpaceDN w:val="0"/>
        <w:snapToGrid w:val="0"/>
        <w:spacing w:line="580" w:lineRule="exact"/>
        <w:ind w:firstLine="640" w:firstLineChars="200"/>
        <w:rPr>
          <w:rFonts w:eastAsia="方正仿宋_GBK"/>
          <w:sz w:val="32"/>
          <w:szCs w:val="32"/>
        </w:rPr>
      </w:pPr>
      <w:r>
        <w:rPr>
          <w:rFonts w:hint="eastAsia" w:eastAsia="方正仿宋_GBK"/>
          <w:sz w:val="32"/>
        </w:rPr>
        <w:t>（七）</w:t>
      </w:r>
      <w:r>
        <w:rPr>
          <w:rFonts w:eastAsia="方正仿宋_GBK"/>
          <w:sz w:val="32"/>
          <w:szCs w:val="32"/>
        </w:rPr>
        <w:t>严格落实地下水及土壤污染防治措施。按照“源头控制、分区防治、污染监控、应急响应”的原则进行地下水污染防治。重点防渗区：</w:t>
      </w:r>
      <w:r>
        <w:rPr>
          <w:rFonts w:hint="eastAsia" w:eastAsia="方正仿宋_GBK"/>
          <w:sz w:val="32"/>
          <w:szCs w:val="32"/>
        </w:rPr>
        <w:t>危险废物贮存库</w:t>
      </w:r>
      <w:r>
        <w:rPr>
          <w:rFonts w:eastAsia="方正仿宋_GBK"/>
          <w:sz w:val="32"/>
          <w:szCs w:val="32"/>
        </w:rPr>
        <w:t>按照《危险废物贮存和污染控制标准》（GB18597-2023）要求基础地面进行防渗，防渗层为至少1m厚粘土层(渗透系数≤10</w:t>
      </w:r>
      <w:r>
        <w:rPr>
          <w:rFonts w:eastAsia="方正仿宋_GBK"/>
          <w:sz w:val="32"/>
          <w:szCs w:val="32"/>
          <w:vertAlign w:val="superscript"/>
        </w:rPr>
        <w:t>-7</w:t>
      </w:r>
      <w:r>
        <w:rPr>
          <w:rFonts w:eastAsia="方正仿宋_GBK"/>
          <w:sz w:val="32"/>
          <w:szCs w:val="32"/>
        </w:rPr>
        <w:t>cm/s)，或2mm厚高密度聚乙烯，或至少2mm厚的其它人工材料，渗透系数≤10</w:t>
      </w:r>
      <w:r>
        <w:rPr>
          <w:rFonts w:eastAsia="方正仿宋_GBK"/>
          <w:sz w:val="32"/>
          <w:szCs w:val="32"/>
          <w:vertAlign w:val="superscript"/>
        </w:rPr>
        <w:t>-10</w:t>
      </w:r>
      <w:r>
        <w:rPr>
          <w:rFonts w:eastAsia="方正仿宋_GBK"/>
          <w:sz w:val="32"/>
          <w:szCs w:val="32"/>
        </w:rPr>
        <w:t>cm/s进行防渗；防渗工程应由专业环保工程公司进行设计、施工。暂存间应张贴危险废物警示牌，并设置专人进行管理，做好危险废物防渗、防漏、防流失措施。做好危废暂存间等防渗工程的施工监理及其相关材料的留档备查，包含但不限于材料购置和使用、阶段性施工图、施工影像图等资料。</w:t>
      </w:r>
      <w:r>
        <w:rPr>
          <w:rFonts w:hint="eastAsia" w:eastAsia="方正仿宋_GBK"/>
          <w:sz w:val="32"/>
          <w:szCs w:val="32"/>
        </w:rPr>
        <w:t>升压站及箱变事故油池</w:t>
      </w:r>
      <w:r>
        <w:rPr>
          <w:rFonts w:eastAsia="方正仿宋_GBK"/>
          <w:sz w:val="32"/>
          <w:szCs w:val="32"/>
        </w:rPr>
        <w:t>底部和四周按照《环境影响评价技术导则地下水环境》（HJ610-2016）提出的重点防渗区防渗技术要求落实，即防渗层为等效黏土防渗层Mb≥6.0m，渗透系数K≤1.0×10</w:t>
      </w:r>
      <w:r>
        <w:rPr>
          <w:rFonts w:eastAsia="方正仿宋_GBK"/>
          <w:sz w:val="32"/>
          <w:szCs w:val="32"/>
          <w:vertAlign w:val="superscript"/>
        </w:rPr>
        <w:t>-7</w:t>
      </w:r>
      <w:r>
        <w:rPr>
          <w:rFonts w:eastAsia="方正仿宋_GBK"/>
          <w:sz w:val="32"/>
          <w:szCs w:val="32"/>
        </w:rPr>
        <w:t>cm/s，确保事故油在存储过程中不会</w:t>
      </w:r>
      <w:r>
        <w:rPr>
          <w:rFonts w:hint="eastAsia" w:eastAsia="方正仿宋_GBK"/>
          <w:sz w:val="32"/>
          <w:szCs w:val="32"/>
        </w:rPr>
        <w:t>产生</w:t>
      </w:r>
      <w:r>
        <w:rPr>
          <w:rFonts w:eastAsia="方正仿宋_GBK"/>
          <w:sz w:val="32"/>
          <w:szCs w:val="32"/>
        </w:rPr>
        <w:t>渗漏。</w:t>
      </w:r>
      <w:r>
        <w:rPr>
          <w:rFonts w:hint="eastAsia" w:eastAsia="方正仿宋_GBK"/>
          <w:sz w:val="32"/>
          <w:szCs w:val="32"/>
        </w:rPr>
        <w:t>污水处理站</w:t>
      </w:r>
      <w:r>
        <w:rPr>
          <w:rFonts w:eastAsia="方正仿宋_GBK"/>
          <w:sz w:val="32"/>
          <w:szCs w:val="32"/>
        </w:rPr>
        <w:t>、</w:t>
      </w:r>
      <w:r>
        <w:rPr>
          <w:rFonts w:hint="eastAsia" w:eastAsia="方正仿宋_GBK"/>
          <w:sz w:val="32"/>
          <w:szCs w:val="32"/>
        </w:rPr>
        <w:t>化粪池、隔油池</w:t>
      </w:r>
      <w:r>
        <w:rPr>
          <w:rFonts w:eastAsia="方正仿宋_GBK"/>
          <w:sz w:val="32"/>
          <w:szCs w:val="32"/>
        </w:rPr>
        <w:t>按照《环境影响评价技术导则地下水环境》（HJ610-2016）中技术要求等效粘土防渗层Mb≥1.5m，K≤1×10</w:t>
      </w:r>
      <w:r>
        <w:rPr>
          <w:rFonts w:eastAsia="方正仿宋_GBK"/>
          <w:sz w:val="32"/>
          <w:szCs w:val="32"/>
          <w:vertAlign w:val="superscript"/>
        </w:rPr>
        <w:t>-7</w:t>
      </w:r>
      <w:r>
        <w:rPr>
          <w:rFonts w:eastAsia="方正仿宋_GBK"/>
          <w:sz w:val="32"/>
          <w:szCs w:val="32"/>
        </w:rPr>
        <w:t>cm/s进行防渗。简单防渗区：生活区、道路等防渗技术要求为地面硬化。</w:t>
      </w:r>
    </w:p>
    <w:p w14:paraId="034E0D86">
      <w:pPr>
        <w:kinsoku w:val="0"/>
        <w:autoSpaceDE w:val="0"/>
        <w:autoSpaceDN w:val="0"/>
        <w:spacing w:line="580" w:lineRule="exact"/>
        <w:ind w:firstLine="640" w:firstLineChars="200"/>
        <w:textAlignment w:val="top"/>
        <w:rPr>
          <w:rFonts w:eastAsia="方正仿宋_GBK"/>
          <w:sz w:val="32"/>
        </w:rPr>
      </w:pPr>
      <w:r>
        <w:rPr>
          <w:rFonts w:hint="eastAsia" w:eastAsia="方正仿宋_GBK"/>
          <w:sz w:val="32"/>
        </w:rPr>
        <w:t>（八）</w:t>
      </w:r>
      <w:r>
        <w:rPr>
          <w:rFonts w:eastAsia="方正仿宋_GBK"/>
          <w:bCs/>
          <w:sz w:val="32"/>
          <w:szCs w:val="32"/>
        </w:rPr>
        <w:t>严格落实电磁辐射环境保护措施。</w:t>
      </w:r>
      <w:r>
        <w:rPr>
          <w:rFonts w:eastAsia="方正仿宋_GBK"/>
          <w:sz w:val="32"/>
          <w:szCs w:val="32"/>
        </w:rPr>
        <w:t>电气设备安装接地装置，升压站内平行跨越的相序排列避免相同布置，减少同相母线交叉与相同转角布置，降低工频电场强度和工频磁感应强度；金属构件做到表面光滑，避免毛刺出线；所有设备导电元件接触部位均已连接紧密，减少因接触不良而产生的火花放电。变电站内电气设备应采取集中布置方式，按有关规程采取系列的控制过电压、电磁感应场强水平的措施，有效的降低电磁环境影响。合理选用各种电气设备及金属配件（如保护环、垫片、接头等），以减少高电位梯度点引起的放电；使用合理、优良的绝缘子来减少绝缘子的表面放电，尽量使用能改善绝缘子表面或沿绝缘子串电压分布的保护装置。对大功率的电磁振荡设备采取必要的屏蔽，密封机箱的孔、口、门缝的连接处；控制箱、断路器端子箱、设备的放油阀门及分接开关尽量布置在较低场强区，以便于运行和检修人员接近。在危险区域设立相应的警示标志，并做好警示宣传工作，醒目位置</w:t>
      </w:r>
      <w:r>
        <w:rPr>
          <w:rFonts w:hint="eastAsia" w:eastAsia="方正仿宋_GBK"/>
          <w:sz w:val="32"/>
          <w:szCs w:val="32"/>
        </w:rPr>
        <w:t>设置</w:t>
      </w:r>
      <w:r>
        <w:rPr>
          <w:rFonts w:eastAsia="方正仿宋_GBK"/>
          <w:sz w:val="32"/>
          <w:szCs w:val="32"/>
        </w:rPr>
        <w:t>安全警示图文标志。</w:t>
      </w:r>
      <w:r>
        <w:rPr>
          <w:rFonts w:eastAsia="方正仿宋_GBK"/>
          <w:bCs/>
          <w:sz w:val="32"/>
          <w:szCs w:val="32"/>
        </w:rPr>
        <w:t>确保项目升压站区域工频电场、工频磁场满足《电磁环境控制限值》</w:t>
      </w:r>
      <w:r>
        <w:rPr>
          <w:rFonts w:hint="eastAsia" w:eastAsia="方正仿宋_GBK"/>
          <w:bCs/>
          <w:sz w:val="32"/>
          <w:szCs w:val="32"/>
        </w:rPr>
        <w:t>(</w:t>
      </w:r>
      <w:r>
        <w:rPr>
          <w:rFonts w:eastAsia="方正仿宋_GBK"/>
          <w:bCs/>
          <w:sz w:val="32"/>
          <w:szCs w:val="32"/>
        </w:rPr>
        <w:t>GB8702-2014</w:t>
      </w:r>
      <w:r>
        <w:rPr>
          <w:rFonts w:hint="eastAsia" w:eastAsia="方正仿宋_GBK"/>
          <w:bCs/>
          <w:sz w:val="32"/>
          <w:szCs w:val="32"/>
        </w:rPr>
        <w:t>)</w:t>
      </w:r>
      <w:r>
        <w:rPr>
          <w:rFonts w:eastAsia="方正仿宋_GBK"/>
          <w:bCs/>
          <w:sz w:val="32"/>
          <w:szCs w:val="32"/>
        </w:rPr>
        <w:t>中工频电场强度公众曝露控制限值4kV/m和工频磁感应强度公众曝露控制限值100μT的要求。</w:t>
      </w:r>
    </w:p>
    <w:p w14:paraId="3BBF8344">
      <w:pPr>
        <w:kinsoku w:val="0"/>
        <w:autoSpaceDE w:val="0"/>
        <w:autoSpaceDN w:val="0"/>
        <w:snapToGrid w:val="0"/>
        <w:spacing w:line="580" w:lineRule="exact"/>
        <w:ind w:firstLine="640" w:firstLineChars="200"/>
        <w:textAlignment w:val="top"/>
        <w:rPr>
          <w:rFonts w:eastAsia="方正仿宋_GBK"/>
          <w:kern w:val="0"/>
          <w:sz w:val="32"/>
          <w:szCs w:val="32"/>
        </w:rPr>
      </w:pPr>
      <w:r>
        <w:rPr>
          <w:rFonts w:eastAsia="方正仿宋_GBK"/>
          <w:sz w:val="32"/>
        </w:rPr>
        <w:t>（</w:t>
      </w:r>
      <w:r>
        <w:rPr>
          <w:rFonts w:hint="eastAsia" w:eastAsia="方正仿宋_GBK"/>
          <w:sz w:val="32"/>
        </w:rPr>
        <w:t>九</w:t>
      </w:r>
      <w:r>
        <w:rPr>
          <w:rFonts w:eastAsia="方正仿宋_GBK"/>
          <w:sz w:val="32"/>
        </w:rPr>
        <w:t>）加强项目区</w:t>
      </w:r>
      <w:r>
        <w:rPr>
          <w:rFonts w:hint="eastAsia" w:eastAsia="方正仿宋_GBK"/>
          <w:sz w:val="32"/>
        </w:rPr>
        <w:t>生态</w:t>
      </w:r>
      <w:r>
        <w:rPr>
          <w:rFonts w:eastAsia="方正仿宋_GBK"/>
          <w:sz w:val="32"/>
        </w:rPr>
        <w:t>环境管理，提</w:t>
      </w:r>
      <w:r>
        <w:rPr>
          <w:rFonts w:eastAsia="方正仿宋_GBK"/>
          <w:kern w:val="0"/>
          <w:sz w:val="32"/>
          <w:szCs w:val="32"/>
        </w:rPr>
        <w:t>高工作人员</w:t>
      </w:r>
      <w:r>
        <w:rPr>
          <w:rFonts w:hint="eastAsia" w:eastAsia="方正仿宋_GBK"/>
          <w:kern w:val="0"/>
          <w:sz w:val="32"/>
          <w:szCs w:val="32"/>
        </w:rPr>
        <w:t>生态环境保护</w:t>
      </w:r>
      <w:r>
        <w:rPr>
          <w:rFonts w:eastAsia="方正仿宋_GBK"/>
          <w:kern w:val="0"/>
          <w:sz w:val="32"/>
          <w:szCs w:val="32"/>
        </w:rPr>
        <w:t>意识，并做好绿化美化</w:t>
      </w:r>
      <w:r>
        <w:rPr>
          <w:rFonts w:hint="eastAsia" w:eastAsia="方正仿宋_GBK"/>
          <w:kern w:val="0"/>
          <w:sz w:val="32"/>
          <w:szCs w:val="32"/>
        </w:rPr>
        <w:t>和生态修复</w:t>
      </w:r>
      <w:r>
        <w:rPr>
          <w:rFonts w:eastAsia="方正仿宋_GBK"/>
          <w:kern w:val="0"/>
          <w:sz w:val="32"/>
          <w:szCs w:val="32"/>
        </w:rPr>
        <w:t>工作。</w:t>
      </w:r>
    </w:p>
    <w:p w14:paraId="181DD3FD">
      <w:pPr>
        <w:kinsoku w:val="0"/>
        <w:autoSpaceDE w:val="0"/>
        <w:autoSpaceDN w:val="0"/>
        <w:spacing w:line="580" w:lineRule="exact"/>
        <w:ind w:firstLine="640" w:firstLineChars="200"/>
        <w:textAlignment w:val="top"/>
        <w:rPr>
          <w:rFonts w:eastAsia="方正仿宋_GBK"/>
          <w:kern w:val="0"/>
          <w:sz w:val="32"/>
          <w:szCs w:val="32"/>
        </w:rPr>
      </w:pPr>
      <w:r>
        <w:rPr>
          <w:rFonts w:eastAsia="方正仿宋_GBK"/>
          <w:kern w:val="0"/>
          <w:sz w:val="32"/>
          <w:szCs w:val="32"/>
        </w:rPr>
        <w:t>（</w:t>
      </w:r>
      <w:r>
        <w:rPr>
          <w:rFonts w:hint="eastAsia" w:eastAsia="方正仿宋_GBK"/>
          <w:kern w:val="0"/>
          <w:sz w:val="32"/>
          <w:szCs w:val="32"/>
        </w:rPr>
        <w:t>十</w:t>
      </w:r>
      <w:r>
        <w:rPr>
          <w:rFonts w:eastAsia="方正仿宋_GBK"/>
          <w:kern w:val="0"/>
          <w:sz w:val="32"/>
          <w:szCs w:val="32"/>
        </w:rPr>
        <w:t>）</w:t>
      </w:r>
      <w:r>
        <w:rPr>
          <w:rFonts w:hint="eastAsia" w:eastAsia="方正仿宋_GBK"/>
          <w:kern w:val="0"/>
          <w:sz w:val="32"/>
          <w:szCs w:val="32"/>
        </w:rPr>
        <w:t>严格落实环境监测及环境信息公开要求。按照《报告表》中的环境监测计划以及相关标准和技术规范要求，制定项目污染物排放和周边环境质量自行监测方案，并认真组织实施。同时，按照环境信息公开相关规定，主动向社会公开污染物排放等相关信息</w:t>
      </w:r>
      <w:r>
        <w:rPr>
          <w:rFonts w:eastAsia="方正仿宋_GBK"/>
          <w:kern w:val="0"/>
          <w:sz w:val="32"/>
          <w:szCs w:val="32"/>
        </w:rPr>
        <w:t>。</w:t>
      </w:r>
    </w:p>
    <w:p w14:paraId="6AF02EDD">
      <w:pPr>
        <w:kinsoku w:val="0"/>
        <w:autoSpaceDE w:val="0"/>
        <w:autoSpaceDN w:val="0"/>
        <w:spacing w:line="580" w:lineRule="exact"/>
        <w:ind w:firstLine="640" w:firstLineChars="200"/>
        <w:textAlignment w:val="top"/>
        <w:rPr>
          <w:rFonts w:eastAsia="方正仿宋_GBK"/>
          <w:kern w:val="0"/>
          <w:sz w:val="32"/>
          <w:szCs w:val="32"/>
        </w:rPr>
      </w:pPr>
      <w:r>
        <w:rPr>
          <w:rFonts w:eastAsia="方正仿宋_GBK"/>
          <w:bCs/>
          <w:sz w:val="32"/>
          <w:szCs w:val="32"/>
        </w:rPr>
        <w:t>（十</w:t>
      </w:r>
      <w:r>
        <w:rPr>
          <w:rFonts w:hint="eastAsia" w:eastAsia="方正仿宋_GBK"/>
          <w:bCs/>
          <w:sz w:val="32"/>
          <w:szCs w:val="32"/>
        </w:rPr>
        <w:t>一</w:t>
      </w:r>
      <w:r>
        <w:rPr>
          <w:rFonts w:eastAsia="方正仿宋_GBK"/>
          <w:bCs/>
          <w:sz w:val="32"/>
          <w:szCs w:val="32"/>
        </w:rPr>
        <w:t>）严格服务期满后</w:t>
      </w:r>
      <w:r>
        <w:rPr>
          <w:rFonts w:hint="eastAsia" w:eastAsia="方正仿宋_GBK"/>
          <w:bCs/>
          <w:sz w:val="32"/>
          <w:szCs w:val="32"/>
        </w:rPr>
        <w:t>生态</w:t>
      </w:r>
      <w:r>
        <w:rPr>
          <w:rFonts w:eastAsia="方正仿宋_GBK"/>
          <w:bCs/>
          <w:sz w:val="32"/>
          <w:szCs w:val="32"/>
        </w:rPr>
        <w:t>环境保护措施。项目服务期结束后，建设单位将对项目光伏设备、升压站进行拆除。拆除过程中产生的废旧太阳能电池板集中收集，委托光伏电池板生产厂家进行回收处置。拆除过程中产生的建筑垃圾分类处置，如钢材、塑料等可回收部分集中收集后，出售给废品回收商；不可回收部分集中收集后，清运至</w:t>
      </w:r>
      <w:r>
        <w:rPr>
          <w:rFonts w:hint="eastAsia" w:eastAsia="方正仿宋_GBK"/>
          <w:bCs/>
          <w:sz w:val="32"/>
          <w:szCs w:val="32"/>
        </w:rPr>
        <w:t>环卫部</w:t>
      </w:r>
      <w:r>
        <w:rPr>
          <w:rFonts w:eastAsia="方正仿宋_GBK"/>
          <w:bCs/>
          <w:sz w:val="32"/>
          <w:szCs w:val="32"/>
        </w:rPr>
        <w:t>门指定地点倾倒和填埋。拆除过程中产生的危险废物严格按照《危险废物贮存污染控制标准》</w:t>
      </w:r>
      <w:r>
        <w:rPr>
          <w:rFonts w:hint="eastAsia" w:eastAsia="方正仿宋_GBK"/>
          <w:bCs/>
          <w:sz w:val="32"/>
          <w:szCs w:val="32"/>
        </w:rPr>
        <w:t>(</w:t>
      </w:r>
      <w:r>
        <w:rPr>
          <w:rFonts w:eastAsia="方正仿宋_GBK"/>
          <w:bCs/>
          <w:sz w:val="32"/>
          <w:szCs w:val="32"/>
        </w:rPr>
        <w:t>GB18597-2023</w:t>
      </w:r>
      <w:r>
        <w:rPr>
          <w:rFonts w:hint="eastAsia" w:eastAsia="方正仿宋_GBK"/>
          <w:bCs/>
          <w:sz w:val="32"/>
          <w:szCs w:val="32"/>
        </w:rPr>
        <w:t>)</w:t>
      </w:r>
      <w:r>
        <w:rPr>
          <w:rFonts w:eastAsia="方正仿宋_GBK"/>
          <w:bCs/>
          <w:sz w:val="32"/>
          <w:szCs w:val="32"/>
        </w:rPr>
        <w:t>进行管理，做好转运台账记录。项目光伏组件设备拆除完毕后，</w:t>
      </w:r>
      <w:r>
        <w:rPr>
          <w:rFonts w:hint="eastAsia" w:eastAsia="方正仿宋_GBK"/>
          <w:bCs/>
          <w:sz w:val="32"/>
          <w:szCs w:val="32"/>
        </w:rPr>
        <w:t>根据土地原有用途和功能，</w:t>
      </w:r>
      <w:r>
        <w:rPr>
          <w:rFonts w:eastAsia="方正仿宋_GBK"/>
          <w:bCs/>
          <w:sz w:val="32"/>
          <w:szCs w:val="32"/>
        </w:rPr>
        <w:t>编制植被恢复方案，落实好植被恢复措施</w:t>
      </w:r>
      <w:r>
        <w:rPr>
          <w:rFonts w:hint="eastAsia" w:eastAsia="方正仿宋_GBK"/>
          <w:bCs/>
          <w:sz w:val="32"/>
          <w:szCs w:val="32"/>
        </w:rPr>
        <w:t>，移交用地单位恢复种植</w:t>
      </w:r>
      <w:r>
        <w:rPr>
          <w:rFonts w:eastAsia="方正仿宋_GBK"/>
          <w:bCs/>
          <w:sz w:val="32"/>
          <w:szCs w:val="32"/>
        </w:rPr>
        <w:t>。</w:t>
      </w:r>
    </w:p>
    <w:p w14:paraId="695CFB3A">
      <w:pPr>
        <w:kinsoku w:val="0"/>
        <w:autoSpaceDE w:val="0"/>
        <w:autoSpaceDN w:val="0"/>
        <w:spacing w:line="580" w:lineRule="exact"/>
        <w:ind w:firstLine="640" w:firstLineChars="200"/>
        <w:textAlignment w:val="top"/>
        <w:rPr>
          <w:rFonts w:ascii="方正黑体_GBK" w:hAnsi="方正黑体_GBK" w:eastAsia="方正黑体_GBK" w:cs="方正黑体_GBK"/>
          <w:sz w:val="32"/>
        </w:rPr>
      </w:pPr>
      <w:r>
        <w:rPr>
          <w:rFonts w:hint="eastAsia" w:ascii="方正黑体_GBK" w:hAnsi="方正黑体_GBK" w:eastAsia="方正黑体_GBK" w:cs="方正黑体_GBK"/>
          <w:sz w:val="32"/>
        </w:rPr>
        <w:t>三、其他相关要求</w:t>
      </w:r>
    </w:p>
    <w:p w14:paraId="71FBD5C0">
      <w:pPr>
        <w:kinsoku w:val="0"/>
        <w:autoSpaceDE w:val="0"/>
        <w:autoSpaceDN w:val="0"/>
        <w:spacing w:line="580" w:lineRule="exact"/>
        <w:ind w:firstLine="640" w:firstLineChars="200"/>
        <w:textAlignment w:val="top"/>
        <w:rPr>
          <w:rFonts w:ascii="Times New Roman Regular" w:hAnsi="Times New Roman Regular" w:eastAsia="方正仿宋_GB2312" w:cs="Times New Roman Regular"/>
          <w:bCs/>
          <w:kern w:val="0"/>
          <w:sz w:val="32"/>
          <w:szCs w:val="32"/>
        </w:rPr>
      </w:pPr>
      <w:r>
        <w:rPr>
          <w:rFonts w:hint="eastAsia" w:eastAsia="方正仿宋_GBK"/>
          <w:sz w:val="32"/>
        </w:rPr>
        <w:t>（一）</w:t>
      </w:r>
      <w:r>
        <w:rPr>
          <w:rFonts w:eastAsia="方正仿宋_GBK"/>
          <w:sz w:val="32"/>
        </w:rPr>
        <w:t>《报告</w:t>
      </w:r>
      <w:r>
        <w:rPr>
          <w:rFonts w:hint="eastAsia" w:eastAsia="方正仿宋_GBK"/>
          <w:sz w:val="32"/>
        </w:rPr>
        <w:t>表</w:t>
      </w:r>
      <w:r>
        <w:rPr>
          <w:rFonts w:eastAsia="方正仿宋_GBK"/>
          <w:sz w:val="32"/>
        </w:rPr>
        <w:t>》经批准后，如工程的规模、地点、生产工艺或者防治污染、防止生态破坏的措施发生重大变动的，你单位应当依法重新报批环境影响评价文件，否则不得动工建设。在项目建设、运行过程中产生不符合经审批的《报告</w:t>
      </w:r>
      <w:r>
        <w:rPr>
          <w:rFonts w:hint="eastAsia" w:eastAsia="方正仿宋_GBK"/>
          <w:sz w:val="32"/>
        </w:rPr>
        <w:t>表</w:t>
      </w:r>
      <w:r>
        <w:rPr>
          <w:rFonts w:eastAsia="方正仿宋_GBK"/>
          <w:sz w:val="32"/>
        </w:rPr>
        <w:t>》情形且不属于重大变动的，你单位应当组织</w:t>
      </w:r>
      <w:r>
        <w:rPr>
          <w:rFonts w:hint="eastAsia" w:eastAsia="方正仿宋_GBK"/>
          <w:sz w:val="32"/>
        </w:rPr>
        <w:t>重新编制《报告表》</w:t>
      </w:r>
      <w:r>
        <w:rPr>
          <w:rFonts w:eastAsia="方正仿宋_GBK"/>
          <w:sz w:val="32"/>
        </w:rPr>
        <w:t>，采取改进措施，按规定</w:t>
      </w:r>
      <w:r>
        <w:rPr>
          <w:rFonts w:hint="eastAsia" w:eastAsia="方正仿宋_GBK"/>
          <w:sz w:val="32"/>
        </w:rPr>
        <w:t>上报审批</w:t>
      </w:r>
      <w:r>
        <w:rPr>
          <w:rFonts w:eastAsia="方正仿宋_GBK"/>
          <w:sz w:val="32"/>
        </w:rPr>
        <w:t>。自《报告</w:t>
      </w:r>
      <w:r>
        <w:rPr>
          <w:rFonts w:hint="eastAsia" w:eastAsia="方正仿宋_GBK"/>
          <w:sz w:val="32"/>
        </w:rPr>
        <w:t>表</w:t>
      </w:r>
      <w:r>
        <w:rPr>
          <w:rFonts w:eastAsia="方正仿宋_GBK"/>
          <w:sz w:val="32"/>
        </w:rPr>
        <w:t>》批准之日起，如超过5年项目方开工建设的，环境影响评价文件应当依法报有审批权的审批部门重新审核。</w:t>
      </w:r>
    </w:p>
    <w:p w14:paraId="4539AD71">
      <w:pPr>
        <w:kinsoku w:val="0"/>
        <w:autoSpaceDE w:val="0"/>
        <w:autoSpaceDN w:val="0"/>
        <w:snapToGrid w:val="0"/>
        <w:spacing w:line="580" w:lineRule="exact"/>
        <w:ind w:firstLine="640" w:firstLineChars="200"/>
        <w:textAlignment w:val="top"/>
        <w:rPr>
          <w:rFonts w:hAnsi="方正仿宋_GBK" w:eastAsia="方正仿宋_GBK"/>
          <w:bCs/>
          <w:kern w:val="0"/>
          <w:sz w:val="32"/>
          <w:szCs w:val="32"/>
        </w:rPr>
      </w:pPr>
      <w:r>
        <w:rPr>
          <w:rFonts w:hint="eastAsia" w:eastAsia="方正仿宋_GBK"/>
          <w:bCs/>
          <w:kern w:val="0"/>
          <w:sz w:val="32"/>
          <w:szCs w:val="32"/>
        </w:rPr>
        <w:t>（二）</w:t>
      </w:r>
      <w:r>
        <w:rPr>
          <w:rFonts w:eastAsia="方正仿宋_GBK"/>
          <w:sz w:val="32"/>
          <w:szCs w:val="32"/>
        </w:rPr>
        <w:t>严格落实“三同时”制度。你公司应严格履行生态环境保护主体责任，建立内部生态环境管理体系，明确机构人员职责和制度，加强生态环境管理，推进各项措施落实。必须严格执行配套的环境保护设施与主体工程同时设计、同时施工、同时投产使用的“三同时”制度。认真落实施工期环境监理工作，制定并落实施工期和运营期生态环境跟踪监测方案，根据结果不断优化各项生态环境保护和污染防治措施。按规定程序开展竣工环境保护验收。</w:t>
      </w:r>
    </w:p>
    <w:p w14:paraId="681C4B55">
      <w:pPr>
        <w:kinsoku w:val="0"/>
        <w:autoSpaceDE w:val="0"/>
        <w:autoSpaceDN w:val="0"/>
        <w:snapToGrid w:val="0"/>
        <w:spacing w:line="580" w:lineRule="exact"/>
        <w:ind w:firstLine="640" w:firstLineChars="200"/>
        <w:textAlignment w:val="top"/>
        <w:rPr>
          <w:rFonts w:hAnsi="方正仿宋_GBK" w:eastAsia="方正仿宋_GBK"/>
          <w:bCs/>
          <w:kern w:val="0"/>
          <w:sz w:val="32"/>
          <w:szCs w:val="32"/>
        </w:rPr>
      </w:pPr>
      <w:r>
        <w:rPr>
          <w:rFonts w:hint="eastAsia" w:hAnsi="方正仿宋_GBK" w:eastAsia="方正仿宋_GBK"/>
          <w:bCs/>
          <w:kern w:val="0"/>
          <w:sz w:val="32"/>
          <w:szCs w:val="32"/>
        </w:rPr>
        <w:t>（三）</w:t>
      </w:r>
      <w:r>
        <w:rPr>
          <w:rFonts w:hAnsi="方正仿宋_GBK" w:eastAsia="方正仿宋_GBK"/>
          <w:bCs/>
          <w:kern w:val="0"/>
          <w:sz w:val="32"/>
          <w:szCs w:val="32"/>
        </w:rPr>
        <w:t>新平县生态环境保护综合行政执法大队负责该项目的环境执法监管工作，切实承担事中事后监管主要责任，按照法律法规及《关于进一步完善建设项目环境保护</w:t>
      </w:r>
      <w:r>
        <w:rPr>
          <w:rFonts w:eastAsia="方正仿宋_GBK"/>
          <w:bCs/>
          <w:kern w:val="0"/>
          <w:sz w:val="32"/>
          <w:szCs w:val="32"/>
        </w:rPr>
        <w:t>“</w:t>
      </w:r>
      <w:r>
        <w:rPr>
          <w:rFonts w:hAnsi="方正仿宋_GBK" w:eastAsia="方正仿宋_GBK"/>
          <w:bCs/>
          <w:kern w:val="0"/>
          <w:sz w:val="32"/>
          <w:szCs w:val="32"/>
        </w:rPr>
        <w:t>三同时</w:t>
      </w:r>
      <w:r>
        <w:rPr>
          <w:rFonts w:eastAsia="方正仿宋_GBK"/>
          <w:bCs/>
          <w:kern w:val="0"/>
          <w:sz w:val="32"/>
          <w:szCs w:val="32"/>
        </w:rPr>
        <w:t>”</w:t>
      </w:r>
      <w:r>
        <w:rPr>
          <w:rFonts w:hAnsi="方正仿宋_GBK" w:eastAsia="方正仿宋_GBK"/>
          <w:bCs/>
          <w:kern w:val="0"/>
          <w:sz w:val="32"/>
          <w:szCs w:val="32"/>
        </w:rPr>
        <w:t>及竣工环境保护自主验收监管工作机制的意见》（环执法〔</w:t>
      </w:r>
      <w:r>
        <w:rPr>
          <w:rFonts w:eastAsia="方正仿宋_GBK"/>
          <w:bCs/>
          <w:kern w:val="0"/>
          <w:sz w:val="32"/>
          <w:szCs w:val="32"/>
        </w:rPr>
        <w:t>2021</w:t>
      </w:r>
      <w:r>
        <w:rPr>
          <w:rFonts w:hAnsi="方正仿宋_GBK" w:eastAsia="方正仿宋_GBK"/>
          <w:bCs/>
          <w:kern w:val="0"/>
          <w:sz w:val="32"/>
          <w:szCs w:val="32"/>
        </w:rPr>
        <w:t>〕</w:t>
      </w:r>
      <w:r>
        <w:rPr>
          <w:rFonts w:eastAsia="方正仿宋_GBK"/>
          <w:bCs/>
          <w:kern w:val="0"/>
          <w:sz w:val="32"/>
          <w:szCs w:val="32"/>
        </w:rPr>
        <w:t>70</w:t>
      </w:r>
      <w:r>
        <w:rPr>
          <w:rFonts w:hAnsi="方正仿宋_GBK" w:eastAsia="方正仿宋_GBK"/>
          <w:bCs/>
          <w:kern w:val="0"/>
          <w:sz w:val="32"/>
          <w:szCs w:val="32"/>
        </w:rPr>
        <w:t>号）等文件要求，加强对项目的环境保护</w:t>
      </w:r>
      <w:r>
        <w:rPr>
          <w:rFonts w:eastAsia="方正仿宋_GBK"/>
          <w:bCs/>
          <w:kern w:val="0"/>
          <w:sz w:val="32"/>
          <w:szCs w:val="32"/>
        </w:rPr>
        <w:t>“</w:t>
      </w:r>
      <w:r>
        <w:rPr>
          <w:rFonts w:hAnsi="方正仿宋_GBK" w:eastAsia="方正仿宋_GBK"/>
          <w:bCs/>
          <w:kern w:val="0"/>
          <w:sz w:val="32"/>
          <w:szCs w:val="32"/>
        </w:rPr>
        <w:t>三同时</w:t>
      </w:r>
      <w:r>
        <w:rPr>
          <w:rFonts w:eastAsia="方正仿宋_GBK"/>
          <w:bCs/>
          <w:kern w:val="0"/>
          <w:sz w:val="32"/>
          <w:szCs w:val="32"/>
        </w:rPr>
        <w:t>”</w:t>
      </w:r>
      <w:r>
        <w:rPr>
          <w:rFonts w:hAnsi="方正仿宋_GBK" w:eastAsia="方正仿宋_GBK"/>
          <w:bCs/>
          <w:kern w:val="0"/>
          <w:sz w:val="32"/>
          <w:szCs w:val="32"/>
        </w:rPr>
        <w:t>、竣工环境保护自主验收等执法监管。</w:t>
      </w:r>
    </w:p>
    <w:p w14:paraId="5C906AD4">
      <w:pPr>
        <w:pStyle w:val="16"/>
        <w:kinsoku w:val="0"/>
        <w:autoSpaceDE w:val="0"/>
        <w:autoSpaceDN w:val="0"/>
        <w:spacing w:line="580" w:lineRule="exact"/>
        <w:ind w:firstLine="0" w:firstLineChars="0"/>
        <w:textAlignment w:val="top"/>
      </w:pPr>
    </w:p>
    <w:p w14:paraId="3DE2D299">
      <w:pPr>
        <w:pStyle w:val="16"/>
        <w:kinsoku w:val="0"/>
        <w:autoSpaceDE w:val="0"/>
        <w:autoSpaceDN w:val="0"/>
        <w:spacing w:line="580" w:lineRule="exact"/>
        <w:ind w:firstLine="0" w:firstLineChars="0"/>
        <w:textAlignment w:val="top"/>
      </w:pPr>
    </w:p>
    <w:p w14:paraId="6050A092">
      <w:pPr>
        <w:kinsoku w:val="0"/>
        <w:autoSpaceDE w:val="0"/>
        <w:autoSpaceDN w:val="0"/>
        <w:snapToGrid w:val="0"/>
        <w:spacing w:line="580" w:lineRule="exact"/>
        <w:ind w:firstLine="4320" w:firstLineChars="1350"/>
        <w:textAlignment w:val="top"/>
        <w:rPr>
          <w:rFonts w:eastAsia="方正仿宋_GBK"/>
          <w:bCs/>
          <w:kern w:val="0"/>
          <w:sz w:val="32"/>
          <w:szCs w:val="32"/>
        </w:rPr>
      </w:pPr>
      <w:r>
        <w:rPr>
          <w:rFonts w:eastAsia="方正仿宋_GBK"/>
          <w:bCs/>
          <w:kern w:val="0"/>
          <w:sz w:val="32"/>
          <w:szCs w:val="32"/>
        </w:rPr>
        <w:t>玉溪市生态环境局新平分局</w:t>
      </w:r>
    </w:p>
    <w:p w14:paraId="2A5DA2BD">
      <w:pPr>
        <w:kinsoku w:val="0"/>
        <w:autoSpaceDE w:val="0"/>
        <w:autoSpaceDN w:val="0"/>
        <w:snapToGrid w:val="0"/>
        <w:spacing w:line="580" w:lineRule="exact"/>
        <w:textAlignment w:val="top"/>
        <w:rPr>
          <w:rFonts w:eastAsia="方正仿宋_GBK"/>
          <w:bCs/>
          <w:kern w:val="0"/>
          <w:sz w:val="32"/>
          <w:szCs w:val="32"/>
          <w:highlight w:val="yellow"/>
        </w:rPr>
      </w:pPr>
      <w:r>
        <w:rPr>
          <w:rFonts w:eastAsia="方正仿宋_GBK"/>
          <w:bCs/>
          <w:kern w:val="0"/>
          <w:sz w:val="32"/>
          <w:szCs w:val="32"/>
        </w:rPr>
        <w:t xml:space="preserve"> </w:t>
      </w:r>
      <w:r>
        <w:rPr>
          <w:rFonts w:hint="eastAsia" w:eastAsia="方正仿宋_GBK"/>
          <w:bCs/>
          <w:kern w:val="0"/>
          <w:sz w:val="32"/>
          <w:szCs w:val="32"/>
        </w:rPr>
        <w:t xml:space="preserve">                                </w:t>
      </w:r>
      <w:r>
        <w:rPr>
          <w:rFonts w:eastAsia="方正仿宋_GBK"/>
          <w:bCs/>
          <w:kern w:val="0"/>
          <w:sz w:val="32"/>
          <w:szCs w:val="32"/>
        </w:rPr>
        <w:t>202</w:t>
      </w:r>
      <w:r>
        <w:rPr>
          <w:rFonts w:hint="eastAsia" w:eastAsia="方正仿宋_GBK"/>
          <w:bCs/>
          <w:kern w:val="0"/>
          <w:sz w:val="32"/>
          <w:szCs w:val="32"/>
        </w:rPr>
        <w:t>4</w:t>
      </w:r>
      <w:r>
        <w:rPr>
          <w:rFonts w:eastAsia="方正仿宋_GBK"/>
          <w:bCs/>
          <w:kern w:val="0"/>
          <w:sz w:val="32"/>
          <w:szCs w:val="32"/>
        </w:rPr>
        <w:t>年</w:t>
      </w:r>
      <w:r>
        <w:rPr>
          <w:rFonts w:hint="eastAsia" w:eastAsia="方正仿宋_GBK"/>
          <w:bCs/>
          <w:kern w:val="0"/>
          <w:sz w:val="32"/>
          <w:szCs w:val="32"/>
        </w:rPr>
        <w:t>11</w:t>
      </w:r>
      <w:r>
        <w:rPr>
          <w:rFonts w:eastAsia="方正仿宋_GBK"/>
          <w:bCs/>
          <w:kern w:val="0"/>
          <w:sz w:val="32"/>
          <w:szCs w:val="32"/>
        </w:rPr>
        <w:t>月</w:t>
      </w:r>
      <w:r>
        <w:rPr>
          <w:rFonts w:hint="eastAsia" w:eastAsia="方正仿宋_GBK"/>
          <w:bCs/>
          <w:kern w:val="0"/>
          <w:sz w:val="32"/>
          <w:szCs w:val="32"/>
        </w:rPr>
        <w:t>26</w:t>
      </w:r>
      <w:r>
        <w:rPr>
          <w:rFonts w:eastAsia="方正仿宋_GBK"/>
          <w:bCs/>
          <w:kern w:val="0"/>
          <w:sz w:val="32"/>
          <w:szCs w:val="32"/>
        </w:rPr>
        <w:t>日</w:t>
      </w:r>
    </w:p>
    <w:p w14:paraId="1AA94CAD">
      <w:pPr>
        <w:kinsoku w:val="0"/>
        <w:autoSpaceDE w:val="0"/>
        <w:autoSpaceDN w:val="0"/>
        <w:spacing w:line="580" w:lineRule="exact"/>
        <w:ind w:firstLine="640" w:firstLineChars="200"/>
        <w:textAlignment w:val="top"/>
        <w:rPr>
          <w:rFonts w:eastAsia="方正仿宋_GBK"/>
          <w:bCs/>
          <w:kern w:val="0"/>
          <w:sz w:val="32"/>
          <w:szCs w:val="32"/>
        </w:rPr>
      </w:pPr>
      <w:r>
        <w:rPr>
          <w:rFonts w:eastAsia="方正仿宋_GBK"/>
          <w:bCs/>
          <w:kern w:val="0"/>
          <w:sz w:val="32"/>
          <w:szCs w:val="32"/>
        </w:rPr>
        <w:t>（此件公开发布）</w:t>
      </w:r>
    </w:p>
    <w:p w14:paraId="40375EEC">
      <w:pPr>
        <w:wordWrap w:val="0"/>
        <w:spacing w:line="590" w:lineRule="exact"/>
        <w:rPr>
          <w:rFonts w:eastAsia="方正仿宋_GBK"/>
          <w:bCs/>
          <w:kern w:val="0"/>
          <w:sz w:val="32"/>
          <w:szCs w:val="32"/>
        </w:rPr>
      </w:pPr>
    </w:p>
    <w:p w14:paraId="3A664A19">
      <w:pPr>
        <w:wordWrap w:val="0"/>
        <w:spacing w:line="590" w:lineRule="exact"/>
        <w:rPr>
          <w:rFonts w:eastAsia="方正仿宋_GBK"/>
          <w:bCs/>
          <w:kern w:val="0"/>
          <w:sz w:val="32"/>
          <w:szCs w:val="32"/>
        </w:rPr>
      </w:pPr>
    </w:p>
    <w:p w14:paraId="08759E77">
      <w:pPr>
        <w:wordWrap w:val="0"/>
        <w:spacing w:line="590" w:lineRule="exact"/>
        <w:rPr>
          <w:rFonts w:eastAsia="方正仿宋_GBK"/>
          <w:bCs/>
          <w:kern w:val="0"/>
          <w:sz w:val="32"/>
          <w:szCs w:val="32"/>
        </w:rPr>
      </w:pPr>
    </w:p>
    <w:p w14:paraId="01EFFEA8">
      <w:pPr>
        <w:wordWrap w:val="0"/>
        <w:spacing w:line="590" w:lineRule="exact"/>
        <w:rPr>
          <w:rFonts w:eastAsia="方正仿宋_GBK"/>
          <w:bCs/>
          <w:kern w:val="0"/>
          <w:sz w:val="32"/>
          <w:szCs w:val="32"/>
        </w:rPr>
      </w:pPr>
    </w:p>
    <w:p w14:paraId="13C28EC3">
      <w:pPr>
        <w:wordWrap w:val="0"/>
        <w:spacing w:line="590" w:lineRule="exact"/>
        <w:rPr>
          <w:rFonts w:eastAsia="方正仿宋_GBK"/>
          <w:bCs/>
          <w:kern w:val="0"/>
          <w:sz w:val="32"/>
          <w:szCs w:val="32"/>
        </w:rPr>
      </w:pPr>
    </w:p>
    <w:p w14:paraId="59376397">
      <w:pPr>
        <w:wordWrap w:val="0"/>
        <w:spacing w:line="590" w:lineRule="exact"/>
        <w:rPr>
          <w:rFonts w:eastAsia="方正仿宋_GBK"/>
          <w:bCs/>
          <w:kern w:val="0"/>
          <w:sz w:val="32"/>
          <w:szCs w:val="32"/>
        </w:rPr>
      </w:pPr>
    </w:p>
    <w:p w14:paraId="24E49751">
      <w:pPr>
        <w:wordWrap w:val="0"/>
        <w:spacing w:line="590" w:lineRule="exact"/>
        <w:rPr>
          <w:rFonts w:eastAsia="方正仿宋_GBK"/>
          <w:bCs/>
          <w:kern w:val="0"/>
          <w:sz w:val="32"/>
          <w:szCs w:val="32"/>
        </w:rPr>
      </w:pPr>
    </w:p>
    <w:p w14:paraId="29EC5C7A">
      <w:pPr>
        <w:wordWrap w:val="0"/>
        <w:spacing w:line="590" w:lineRule="exact"/>
        <w:rPr>
          <w:rFonts w:eastAsia="方正仿宋_GBK"/>
          <w:bCs/>
          <w:kern w:val="0"/>
          <w:sz w:val="32"/>
          <w:szCs w:val="32"/>
        </w:rPr>
      </w:pPr>
    </w:p>
    <w:p w14:paraId="58360972">
      <w:pPr>
        <w:wordWrap w:val="0"/>
        <w:spacing w:line="590" w:lineRule="exact"/>
        <w:rPr>
          <w:rFonts w:eastAsia="方正仿宋_GBK"/>
          <w:bCs/>
          <w:kern w:val="0"/>
          <w:sz w:val="32"/>
          <w:szCs w:val="32"/>
        </w:rPr>
      </w:pPr>
    </w:p>
    <w:p w14:paraId="205B199D">
      <w:pPr>
        <w:wordWrap w:val="0"/>
        <w:spacing w:line="590" w:lineRule="exact"/>
        <w:rPr>
          <w:rFonts w:eastAsia="方正仿宋_GBK"/>
          <w:bCs/>
          <w:kern w:val="0"/>
          <w:sz w:val="32"/>
          <w:szCs w:val="32"/>
        </w:rPr>
      </w:pPr>
    </w:p>
    <w:p w14:paraId="06AD4693">
      <w:pPr>
        <w:wordWrap w:val="0"/>
        <w:spacing w:line="590" w:lineRule="exact"/>
        <w:rPr>
          <w:rFonts w:eastAsia="方正仿宋_GBK"/>
          <w:bCs/>
          <w:kern w:val="0"/>
          <w:sz w:val="32"/>
          <w:szCs w:val="32"/>
        </w:rPr>
      </w:pPr>
    </w:p>
    <w:p w14:paraId="6B5631A7">
      <w:pPr>
        <w:wordWrap w:val="0"/>
        <w:spacing w:line="590" w:lineRule="exact"/>
        <w:rPr>
          <w:rFonts w:eastAsia="方正仿宋_GBK"/>
          <w:bCs/>
          <w:kern w:val="0"/>
          <w:sz w:val="32"/>
          <w:szCs w:val="32"/>
        </w:rPr>
      </w:pPr>
    </w:p>
    <w:p w14:paraId="365049B6">
      <w:pPr>
        <w:wordWrap w:val="0"/>
        <w:spacing w:line="590" w:lineRule="exact"/>
        <w:rPr>
          <w:rFonts w:eastAsia="方正仿宋_GBK"/>
          <w:bCs/>
          <w:kern w:val="0"/>
          <w:sz w:val="32"/>
          <w:szCs w:val="32"/>
        </w:rPr>
      </w:pPr>
    </w:p>
    <w:p w14:paraId="2D51B316">
      <w:pPr>
        <w:wordWrap w:val="0"/>
        <w:spacing w:line="590" w:lineRule="exact"/>
        <w:rPr>
          <w:rFonts w:eastAsia="方正仿宋_GBK"/>
          <w:bCs/>
          <w:kern w:val="0"/>
          <w:sz w:val="32"/>
          <w:szCs w:val="32"/>
        </w:rPr>
      </w:pPr>
    </w:p>
    <w:p w14:paraId="0DE1CB4A">
      <w:pPr>
        <w:wordWrap w:val="0"/>
        <w:spacing w:line="590" w:lineRule="exact"/>
        <w:rPr>
          <w:rFonts w:eastAsia="方正仿宋_GBK"/>
          <w:bCs/>
          <w:kern w:val="0"/>
          <w:sz w:val="32"/>
          <w:szCs w:val="32"/>
        </w:rPr>
      </w:pPr>
    </w:p>
    <w:p w14:paraId="29538CFC">
      <w:pPr>
        <w:wordWrap w:val="0"/>
        <w:spacing w:line="590" w:lineRule="exact"/>
        <w:rPr>
          <w:rFonts w:eastAsia="方正仿宋_GBK"/>
          <w:bCs/>
          <w:kern w:val="0"/>
          <w:sz w:val="32"/>
          <w:szCs w:val="32"/>
        </w:rPr>
      </w:pPr>
    </w:p>
    <w:p w14:paraId="35C2699E">
      <w:pPr>
        <w:wordWrap w:val="0"/>
        <w:spacing w:line="590" w:lineRule="exact"/>
        <w:rPr>
          <w:rFonts w:eastAsia="方正仿宋_GBK"/>
          <w:bCs/>
          <w:kern w:val="0"/>
          <w:sz w:val="32"/>
          <w:szCs w:val="32"/>
        </w:rPr>
      </w:pPr>
    </w:p>
    <w:p w14:paraId="1039255D">
      <w:pPr>
        <w:pStyle w:val="2"/>
      </w:pPr>
    </w:p>
    <w:p w14:paraId="31AC6F2B">
      <w:pPr>
        <w:pStyle w:val="2"/>
        <w:ind w:firstLine="560"/>
      </w:pPr>
    </w:p>
    <w:p w14:paraId="1DAC4878">
      <w:pPr>
        <w:pStyle w:val="2"/>
        <w:ind w:firstLine="560"/>
      </w:pPr>
    </w:p>
    <w:p w14:paraId="13374A99">
      <w:pPr>
        <w:wordWrap w:val="0"/>
        <w:spacing w:line="590" w:lineRule="exact"/>
        <w:rPr>
          <w:rFonts w:eastAsia="方正仿宋_GBK"/>
          <w:bCs/>
          <w:kern w:val="0"/>
          <w:sz w:val="32"/>
          <w:szCs w:val="32"/>
        </w:rPr>
      </w:pPr>
    </w:p>
    <w:p w14:paraId="3C6EDF2D">
      <w:pPr>
        <w:wordWrap w:val="0"/>
        <w:spacing w:line="590" w:lineRule="exact"/>
        <w:rPr>
          <w:rFonts w:eastAsia="方正仿宋_GBK"/>
          <w:bCs/>
          <w:kern w:val="0"/>
          <w:sz w:val="32"/>
          <w:szCs w:val="32"/>
        </w:rPr>
      </w:pPr>
      <w:r>
        <w:rPr>
          <w:rFonts w:hAnsi="Times New Roman Regular" w:eastAsia="方正仿宋_GBK"/>
          <w:sz w:val="28"/>
          <w:szCs w:val="28"/>
        </w:rPr>
        <w:pict>
          <v:line id="Line 44" o:spid="_x0000_s1026" o:spt="20" style="position:absolute;left:0pt;margin-left:-2.15pt;margin-top:30.9pt;height:0pt;width:445.2pt;z-index:251660288;mso-width-relative:page;mso-height-relative:page;" coordsize="21600,21600" o:gfxdata="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ITVJ1gAAAAgBAAAP&#10;AAAAAAAAAAEAIAAAACIAAABkcnMvZG93bnJldi54bWxQSwECFAAUAAAACACHTuJA7wikX+EBAADp&#10;AwAADgAAAAAAAAABACAAAAAlAQAAZHJzL2Uyb0RvYy54bWxQSwUGAAAAAAYABgBZAQAAeAUAAAAA&#10;">
            <v:path arrowok="t"/>
            <v:fill focussize="0,0"/>
            <v:stroke weight="1.21pt"/>
            <v:imagedata o:title=""/>
            <o:lock v:ext="edit"/>
          </v:line>
        </w:pict>
      </w:r>
    </w:p>
    <w:p w14:paraId="425B1AAF">
      <w:pPr>
        <w:wordWrap w:val="0"/>
        <w:snapToGrid w:val="0"/>
        <w:spacing w:line="400" w:lineRule="exact"/>
        <w:ind w:left="839" w:leftChars="133" w:hanging="560" w:hangingChars="200"/>
        <w:jc w:val="left"/>
        <w:rPr>
          <w:rFonts w:eastAsia="方正仿宋_GBK"/>
          <w:bCs/>
          <w:sz w:val="28"/>
          <w:szCs w:val="28"/>
        </w:rPr>
      </w:pPr>
      <w:r>
        <w:rPr>
          <w:rFonts w:hAnsi="Times New Roman Regular" w:eastAsia="方正仿宋_GBK"/>
          <w:sz w:val="28"/>
          <w:szCs w:val="28"/>
        </w:rPr>
        <w:t>抄送：</w:t>
      </w:r>
      <w:r>
        <w:rPr>
          <w:rFonts w:eastAsia="方正仿宋_GBK"/>
          <w:bCs/>
          <w:sz w:val="28"/>
          <w:szCs w:val="28"/>
        </w:rPr>
        <w:t>县发展和改革局、县自然资源局、县应急管理局、县林草局、</w:t>
      </w:r>
    </w:p>
    <w:p w14:paraId="085F6138">
      <w:pPr>
        <w:wordWrap w:val="0"/>
        <w:snapToGrid w:val="0"/>
        <w:spacing w:line="400" w:lineRule="exact"/>
        <w:ind w:firstLine="1120" w:firstLineChars="400"/>
        <w:jc w:val="left"/>
        <w:rPr>
          <w:rFonts w:eastAsia="方正仿宋_GBK"/>
          <w:bCs/>
          <w:sz w:val="28"/>
          <w:szCs w:val="28"/>
        </w:rPr>
      </w:pPr>
      <w:r>
        <w:rPr>
          <w:rFonts w:hint="eastAsia" w:eastAsia="方正仿宋_GBK"/>
          <w:bCs/>
          <w:sz w:val="28"/>
          <w:szCs w:val="28"/>
        </w:rPr>
        <w:t>漠沙</w:t>
      </w:r>
      <w:r>
        <w:rPr>
          <w:rFonts w:eastAsia="方正仿宋_GBK"/>
          <w:bCs/>
          <w:sz w:val="28"/>
          <w:szCs w:val="28"/>
        </w:rPr>
        <w:t>镇人民政府，县生态环境保护综合行政执法大队、市生</w:t>
      </w:r>
    </w:p>
    <w:p w14:paraId="4C503CA5">
      <w:pPr>
        <w:wordWrap w:val="0"/>
        <w:snapToGrid w:val="0"/>
        <w:spacing w:line="400" w:lineRule="exact"/>
        <w:ind w:firstLine="1120" w:firstLineChars="400"/>
        <w:jc w:val="left"/>
        <w:rPr>
          <w:rFonts w:eastAsia="方正仿宋_GBK"/>
          <w:bCs/>
          <w:sz w:val="28"/>
          <w:szCs w:val="28"/>
        </w:rPr>
      </w:pPr>
      <w:r>
        <w:rPr>
          <w:rFonts w:eastAsia="方正仿宋_GBK"/>
          <w:bCs/>
          <w:sz w:val="28"/>
          <w:szCs w:val="28"/>
        </w:rPr>
        <w:t>态环境局新平分局生态环境监测站，</w:t>
      </w:r>
      <w:r>
        <w:rPr>
          <w:rFonts w:hint="eastAsia" w:eastAsia="方正仿宋_GBK"/>
          <w:bCs/>
          <w:sz w:val="28"/>
          <w:szCs w:val="28"/>
        </w:rPr>
        <w:t>云南恒成工程设计咨询</w:t>
      </w:r>
    </w:p>
    <w:p w14:paraId="11A78F01">
      <w:pPr>
        <w:wordWrap w:val="0"/>
        <w:snapToGrid w:val="0"/>
        <w:spacing w:line="400" w:lineRule="exact"/>
        <w:ind w:firstLine="1120" w:firstLineChars="400"/>
        <w:jc w:val="left"/>
        <w:rPr>
          <w:rFonts w:eastAsia="方正仿宋_GBK"/>
          <w:bCs/>
          <w:sz w:val="28"/>
          <w:szCs w:val="28"/>
        </w:rPr>
      </w:pPr>
      <w:r>
        <w:rPr>
          <w:rFonts w:hint="eastAsia" w:eastAsia="方正仿宋_GBK"/>
          <w:bCs/>
          <w:sz w:val="28"/>
          <w:szCs w:val="28"/>
        </w:rPr>
        <w:t>有限公司、</w:t>
      </w:r>
      <w:r>
        <w:rPr>
          <w:rFonts w:hint="eastAsia" w:eastAsia="方正仿宋_GBK"/>
          <w:bCs/>
          <w:sz w:val="28"/>
          <w:szCs w:val="28"/>
          <w:lang w:val="zh-CN"/>
        </w:rPr>
        <w:t>云南佳源环境工程评估有限公司</w:t>
      </w:r>
      <w:r>
        <w:rPr>
          <w:rFonts w:hint="eastAsia" w:eastAsia="方正仿宋_GBK"/>
          <w:bCs/>
          <w:sz w:val="28"/>
          <w:szCs w:val="28"/>
        </w:rPr>
        <w:t>。</w:t>
      </w:r>
    </w:p>
    <w:p w14:paraId="524979D8">
      <w:pPr>
        <w:wordWrap w:val="0"/>
        <w:spacing w:line="400" w:lineRule="exact"/>
        <w:ind w:firstLine="280" w:firstLineChars="100"/>
        <w:rPr>
          <w:rFonts w:eastAsia="方正仿宋_GBK"/>
          <w:bCs/>
          <w:kern w:val="0"/>
          <w:sz w:val="28"/>
          <w:szCs w:val="28"/>
        </w:rPr>
      </w:pPr>
      <w:r>
        <w:rPr>
          <w:rFonts w:eastAsia="方正仿宋_GBK"/>
          <w:bCs/>
          <w:sz w:val="28"/>
          <w:szCs w:val="28"/>
        </w:rPr>
        <w:pict>
          <v:line id="_x0000_s1028" o:spid="_x0000_s1028" o:spt="20" style="position:absolute;left:0pt;margin-left:1.85pt;margin-top:1.85pt;height:0pt;width:438.3pt;z-index:251661312;mso-width-relative:page;mso-height-relative:page;" coordsize="21600,21600" o:gfxdata="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4odk/TAAAABQEAAA8AAAAA&#10;AAAAAQAgAAAAIgAAAGRycy9kb3ducmV2LnhtbFBLAQIUABQAAAAIAIdO4kBY43sW4AEAAOgDAAAO&#10;AAAAAAAAAAEAIAAAACIBAABkcnMvZTJvRG9jLnhtbFBLBQYAAAAABgAGAFkBAAB0BQAAAAA=&#10;">
            <v:path arrowok="t"/>
            <v:fill focussize="0,0"/>
            <v:stroke weight="0.71pt"/>
            <v:imagedata o:title=""/>
            <o:lock v:ext="edit"/>
          </v:line>
        </w:pict>
      </w:r>
      <w:r>
        <w:rPr>
          <w:rFonts w:eastAsia="方正仿宋_GBK"/>
          <w:bCs/>
          <w:kern w:val="0"/>
          <w:sz w:val="28"/>
          <w:szCs w:val="28"/>
        </w:rPr>
        <w:pict>
          <v:line id="直线 9" o:spid="_x0000_s1027" o:spt="20" style="position:absolute;left:0pt;margin-left:-1pt;margin-top:23.75pt;height:0pt;width:441.15pt;z-index:251662336;mso-width-relative:page;mso-height-relative:page;" coordsize="21600,21600" o:gfxdata="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YekW7XAAAACAEAAA8AAAAAAAAAAQAgAAAAIgAAAGRycy9kb3ducmV2LnhtbFBLAQIUABQAAAAI&#10;AIdO4kCXs1iM7gEAAOoDAAAOAAAAAAAAAAEAIAAAACYBAABkcnMvZTJvRG9jLnhtbFBLBQYAAAAA&#10;BgAGAFkBAACGBQAAAAA=&#10;">
            <v:path arrowok="t"/>
            <v:fill focussize="0,0"/>
            <v:stroke weight="1.21pt"/>
            <v:imagedata o:title=""/>
            <o:lock v:ext="edit"/>
          </v:line>
        </w:pict>
      </w:r>
      <w:r>
        <w:rPr>
          <w:rFonts w:hAnsi="Times New Roman Regular" w:eastAsia="方正仿宋_GBK"/>
          <w:bCs/>
          <w:kern w:val="0"/>
          <w:sz w:val="28"/>
          <w:szCs w:val="28"/>
        </w:rPr>
        <w:t>玉溪市生态环境局新平分局</w:t>
      </w:r>
      <w:r>
        <w:rPr>
          <w:rFonts w:hint="eastAsia" w:hAnsi="Times New Roman Regular" w:eastAsia="方正仿宋_GBK"/>
          <w:bCs/>
          <w:kern w:val="0"/>
          <w:sz w:val="28"/>
          <w:szCs w:val="28"/>
        </w:rPr>
        <w:t xml:space="preserve">               </w:t>
      </w:r>
      <w:r>
        <w:rPr>
          <w:rFonts w:eastAsia="方正仿宋_GBK"/>
          <w:bCs/>
          <w:kern w:val="0"/>
          <w:sz w:val="28"/>
          <w:szCs w:val="28"/>
        </w:rPr>
        <w:t>202</w:t>
      </w:r>
      <w:r>
        <w:rPr>
          <w:rFonts w:hint="eastAsia" w:eastAsia="方正仿宋_GBK"/>
          <w:bCs/>
          <w:kern w:val="0"/>
          <w:sz w:val="28"/>
          <w:szCs w:val="28"/>
        </w:rPr>
        <w:t>4</w:t>
      </w:r>
      <w:r>
        <w:rPr>
          <w:rFonts w:hAnsi="Times New Roman Regular" w:eastAsia="方正仿宋_GBK"/>
          <w:bCs/>
          <w:kern w:val="0"/>
          <w:sz w:val="28"/>
          <w:szCs w:val="28"/>
        </w:rPr>
        <w:t>年</w:t>
      </w:r>
      <w:r>
        <w:rPr>
          <w:rFonts w:hint="eastAsia" w:eastAsia="方正仿宋_GBK"/>
          <w:bCs/>
          <w:kern w:val="0"/>
          <w:sz w:val="28"/>
          <w:szCs w:val="28"/>
        </w:rPr>
        <w:t>11</w:t>
      </w:r>
      <w:r>
        <w:rPr>
          <w:rFonts w:hAnsi="Times New Roman Regular" w:eastAsia="方正仿宋_GBK"/>
          <w:bCs/>
          <w:kern w:val="0"/>
          <w:sz w:val="28"/>
          <w:szCs w:val="28"/>
        </w:rPr>
        <w:t>月</w:t>
      </w:r>
      <w:r>
        <w:rPr>
          <w:rFonts w:hint="eastAsia" w:hAnsi="Times New Roman Regular" w:eastAsia="方正仿宋_GBK"/>
          <w:bCs/>
          <w:kern w:val="0"/>
          <w:sz w:val="28"/>
          <w:szCs w:val="28"/>
        </w:rPr>
        <w:t>26</w:t>
      </w:r>
      <w:r>
        <w:rPr>
          <w:rFonts w:hint="eastAsia" w:hAnsi="Times New Roman Regular" w:eastAsia="方正仿宋_GBK"/>
          <w:sz w:val="28"/>
          <w:szCs w:val="28"/>
          <w:lang w:val="zh-CN"/>
        </w:rPr>
        <w:t>日印发</w:t>
      </w:r>
    </w:p>
    <w:sectPr>
      <w:headerReference r:id="rId3" w:type="default"/>
      <w:footerReference r:id="rId4" w:type="default"/>
      <w:footerReference r:id="rId5" w:type="even"/>
      <w:pgSz w:w="11906" w:h="16838"/>
      <w:pgMar w:top="1814" w:right="1474" w:bottom="1588" w:left="1588" w:header="136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w:panose1 w:val="00000000000000000000"/>
    <w:charset w:val="00"/>
    <w:family w:val="auto"/>
    <w:pitch w:val="default"/>
    <w:sig w:usb0="00000000" w:usb1="00000000" w:usb2="00000009" w:usb3="00000000" w:csb0="400001FF" w:csb1="FFFF0000"/>
    <w:embedRegular r:id="rId1" w:fontKey="{78CA71C7-18D2-4DAB-A098-40E89E086744}"/>
  </w:font>
  <w:font w:name="方正仿宋_GBK">
    <w:panose1 w:val="03000509000000000000"/>
    <w:charset w:val="86"/>
    <w:family w:val="script"/>
    <w:pitch w:val="default"/>
    <w:sig w:usb0="00000001" w:usb1="080E0000" w:usb2="00000000" w:usb3="00000000" w:csb0="00040000" w:csb1="00000000"/>
    <w:embedRegular r:id="rId2" w:fontKey="{13FC4768-B046-494F-971D-28A268654973}"/>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3442EAAD-0C23-4979-A1C4-4558FB920E4B}"/>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3C14">
    <w:pPr>
      <w:pStyle w:val="9"/>
    </w:pPr>
    <w:r>
      <w:pict>
        <v:shape id="文本框 2049" o:spid="_x0000_s2049" o:spt="202" type="#_x0000_t202" style="position:absolute;left:0pt;margin-top:0pt;height:40.9pt;width:66.85pt;mso-position-horizontal:outside;mso-position-horizontal-relative:margin;z-index:251659264;mso-width-relative:page;mso-height-relative:page;" filled="f" stroked="f" coordsize="21600,21600" o:gfxdata="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52x3TAAAABAEAAA8AAAAAAAAAAQAgAAAAIgAAAGRycy9k&#10;b3ducmV2LnhtbFBLAQIUABQAAAAIAIdO4kBdY7R3zgEAAJwDAAAOAAAAAAAAAAEAIAAAACIBAABk&#10;cnMvZTJvRG9jLnhtbFBLBQYAAAAABgAGAFkBAABiBQAAAAA=&#10;">
          <v:path/>
          <v:fill on="f" focussize="0,0"/>
          <v:stroke on="f" joinstyle="miter"/>
          <v:imagedata o:title=""/>
          <o:lock v:ext="edit"/>
          <v:textbox inset="0mm,0mm,0mm,0mm" style="mso-fit-shape-to-text:t;">
            <w:txbxContent>
              <w:p w14:paraId="6C39996C">
                <w:pPr>
                  <w:pStyle w:val="9"/>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BFEC">
    <w:pPr>
      <w:pStyle w:val="9"/>
      <w:framePr w:wrap="around" w:vAnchor="text" w:hAnchor="margin" w:xAlign="center" w:y="1"/>
      <w:rPr>
        <w:rStyle w:val="15"/>
      </w:rPr>
    </w:pPr>
    <w:r>
      <w:fldChar w:fldCharType="begin"/>
    </w:r>
    <w:r>
      <w:rPr>
        <w:rStyle w:val="15"/>
      </w:rPr>
      <w:instrText xml:space="preserve">PAGE  </w:instrText>
    </w:r>
    <w:r>
      <w:fldChar w:fldCharType="end"/>
    </w:r>
  </w:p>
  <w:p w14:paraId="2AAEF5B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9BD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dmMjRiNjA4N2JhNGRiOTczYmExNzJhM2Y3MjE0MDIifQ=="/>
  </w:docVars>
  <w:rsids>
    <w:rsidRoot w:val="FFFFBAA6"/>
    <w:rsid w:val="00026035"/>
    <w:rsid w:val="0004467B"/>
    <w:rsid w:val="000E2045"/>
    <w:rsid w:val="00105460"/>
    <w:rsid w:val="001C6B0F"/>
    <w:rsid w:val="002B5DB3"/>
    <w:rsid w:val="00510665"/>
    <w:rsid w:val="005141AC"/>
    <w:rsid w:val="005204FA"/>
    <w:rsid w:val="005B6A98"/>
    <w:rsid w:val="005C702D"/>
    <w:rsid w:val="006223D8"/>
    <w:rsid w:val="00652F74"/>
    <w:rsid w:val="0069444D"/>
    <w:rsid w:val="006B5D95"/>
    <w:rsid w:val="006D0343"/>
    <w:rsid w:val="006F277F"/>
    <w:rsid w:val="00852A90"/>
    <w:rsid w:val="00872787"/>
    <w:rsid w:val="00887AD0"/>
    <w:rsid w:val="00893870"/>
    <w:rsid w:val="009479DD"/>
    <w:rsid w:val="00970F1B"/>
    <w:rsid w:val="009E09DC"/>
    <w:rsid w:val="009E482C"/>
    <w:rsid w:val="00A356A7"/>
    <w:rsid w:val="00AC1ADE"/>
    <w:rsid w:val="00B141BC"/>
    <w:rsid w:val="00B221A3"/>
    <w:rsid w:val="00B251C8"/>
    <w:rsid w:val="00CE6C63"/>
    <w:rsid w:val="00D20A03"/>
    <w:rsid w:val="00E8155B"/>
    <w:rsid w:val="00ED01DF"/>
    <w:rsid w:val="00F572AE"/>
    <w:rsid w:val="00FA0DE0"/>
    <w:rsid w:val="03D41628"/>
    <w:rsid w:val="05291D36"/>
    <w:rsid w:val="054E7825"/>
    <w:rsid w:val="05D272A1"/>
    <w:rsid w:val="05E42829"/>
    <w:rsid w:val="07057D67"/>
    <w:rsid w:val="085D6AB9"/>
    <w:rsid w:val="0AAB068B"/>
    <w:rsid w:val="0B1E1A79"/>
    <w:rsid w:val="0B223ED3"/>
    <w:rsid w:val="0BC10D08"/>
    <w:rsid w:val="0F6851C6"/>
    <w:rsid w:val="1111746F"/>
    <w:rsid w:val="11303E0E"/>
    <w:rsid w:val="11C07049"/>
    <w:rsid w:val="129E238A"/>
    <w:rsid w:val="149F13CF"/>
    <w:rsid w:val="19FB77DC"/>
    <w:rsid w:val="222D3195"/>
    <w:rsid w:val="22951858"/>
    <w:rsid w:val="23EA1528"/>
    <w:rsid w:val="2554170B"/>
    <w:rsid w:val="25ED38E1"/>
    <w:rsid w:val="2E685D6E"/>
    <w:rsid w:val="2FF269B1"/>
    <w:rsid w:val="337FE5CA"/>
    <w:rsid w:val="33EA1139"/>
    <w:rsid w:val="363C7800"/>
    <w:rsid w:val="38F03DED"/>
    <w:rsid w:val="3BEF0A10"/>
    <w:rsid w:val="3E593F35"/>
    <w:rsid w:val="3E80261B"/>
    <w:rsid w:val="41727F97"/>
    <w:rsid w:val="4379373F"/>
    <w:rsid w:val="443936BE"/>
    <w:rsid w:val="46665DE7"/>
    <w:rsid w:val="49B20AE1"/>
    <w:rsid w:val="4A393643"/>
    <w:rsid w:val="4B9F605C"/>
    <w:rsid w:val="4BBE132D"/>
    <w:rsid w:val="4C4111B6"/>
    <w:rsid w:val="4C6F7604"/>
    <w:rsid w:val="4D8647C8"/>
    <w:rsid w:val="50E63583"/>
    <w:rsid w:val="51B643F6"/>
    <w:rsid w:val="52EA4A9A"/>
    <w:rsid w:val="54117CD9"/>
    <w:rsid w:val="559B388A"/>
    <w:rsid w:val="569F1961"/>
    <w:rsid w:val="59AC5F8A"/>
    <w:rsid w:val="5AC468CD"/>
    <w:rsid w:val="5B5A22BC"/>
    <w:rsid w:val="5BD412A0"/>
    <w:rsid w:val="5D3679C4"/>
    <w:rsid w:val="6108588D"/>
    <w:rsid w:val="629E385E"/>
    <w:rsid w:val="65034E49"/>
    <w:rsid w:val="66CB18D8"/>
    <w:rsid w:val="68787996"/>
    <w:rsid w:val="68CF7577"/>
    <w:rsid w:val="69830EF4"/>
    <w:rsid w:val="6BDEC942"/>
    <w:rsid w:val="6DA833E5"/>
    <w:rsid w:val="6E1C74D3"/>
    <w:rsid w:val="70B54176"/>
    <w:rsid w:val="71D676BA"/>
    <w:rsid w:val="737F06EF"/>
    <w:rsid w:val="73D8221A"/>
    <w:rsid w:val="760C24D1"/>
    <w:rsid w:val="7776CE4A"/>
    <w:rsid w:val="796939F9"/>
    <w:rsid w:val="7B081D9E"/>
    <w:rsid w:val="7BBC2287"/>
    <w:rsid w:val="7D8C38A7"/>
    <w:rsid w:val="7FA9139F"/>
    <w:rsid w:val="7FCF7385"/>
    <w:rsid w:val="99FB39AD"/>
    <w:rsid w:val="BFFB10EA"/>
    <w:rsid w:val="D7EFDC95"/>
    <w:rsid w:val="FFF72612"/>
    <w:rsid w:val="FFFFB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line="0" w:lineRule="atLeast"/>
      <w:ind w:firstLine="527" w:firstLineChars="200"/>
    </w:pPr>
    <w:rPr>
      <w:rFonts w:ascii="仿宋_GB2312" w:eastAsia="仿宋_GB2312"/>
      <w:sz w:val="28"/>
    </w:rPr>
  </w:style>
  <w:style w:type="paragraph" w:styleId="4">
    <w:name w:val="Body Text First Indent"/>
    <w:basedOn w:val="5"/>
    <w:next w:val="1"/>
    <w:qFormat/>
    <w:uiPriority w:val="0"/>
    <w:pPr>
      <w:ind w:firstLine="420" w:firstLineChars="100"/>
    </w:pPr>
  </w:style>
  <w:style w:type="paragraph" w:styleId="5">
    <w:name w:val="Body Text"/>
    <w:basedOn w:val="1"/>
    <w:next w:val="1"/>
    <w:qFormat/>
    <w:uiPriority w:val="0"/>
    <w:pPr>
      <w:spacing w:after="120"/>
    </w:pPr>
    <w:rPr>
      <w:szCs w:val="20"/>
    </w:rPr>
  </w:style>
  <w:style w:type="paragraph" w:styleId="6">
    <w:name w:val="toa heading"/>
    <w:basedOn w:val="1"/>
    <w:next w:val="1"/>
    <w:qFormat/>
    <w:uiPriority w:val="0"/>
    <w:pPr>
      <w:spacing w:before="120"/>
    </w:pPr>
    <w:rPr>
      <w:rFonts w:ascii="Cambria" w:hAnsi="Cambria"/>
    </w:rPr>
  </w:style>
  <w:style w:type="paragraph" w:styleId="7">
    <w:name w:val="annotation text"/>
    <w:basedOn w:val="1"/>
    <w:qFormat/>
    <w:uiPriority w:val="0"/>
    <w:pPr>
      <w:jc w:val="left"/>
    </w:pPr>
  </w:style>
  <w:style w:type="paragraph" w:styleId="8">
    <w:name w:val="Plain Text"/>
    <w:basedOn w:val="1"/>
    <w:next w:val="1"/>
    <w:qFormat/>
    <w:uiPriority w:val="99"/>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正文1"/>
    <w:basedOn w:val="1"/>
    <w:qFormat/>
    <w:uiPriority w:val="0"/>
    <w:pPr>
      <w:spacing w:line="360" w:lineRule="auto"/>
      <w:ind w:firstLine="200" w:firstLineChars="200"/>
      <w:jc w:val="left"/>
    </w:pPr>
    <w:rPr>
      <w:sz w:val="24"/>
    </w:rPr>
  </w:style>
  <w:style w:type="paragraph" w:styleId="12">
    <w:name w:val="Normal (Web)"/>
    <w:basedOn w:val="1"/>
    <w:qFormat/>
    <w:uiPriority w:val="0"/>
    <w:pPr>
      <w:spacing w:beforeAutospacing="1" w:afterAutospacing="1"/>
      <w:jc w:val="left"/>
    </w:pPr>
    <w:rPr>
      <w:kern w:val="0"/>
      <w:sz w:val="24"/>
    </w:rPr>
  </w:style>
  <w:style w:type="character" w:styleId="15">
    <w:name w:val="page number"/>
    <w:basedOn w:val="14"/>
    <w:qFormat/>
    <w:uiPriority w:val="0"/>
  </w:style>
  <w:style w:type="paragraph" w:customStyle="1" w:styleId="16">
    <w:name w:val="Normal Indent1"/>
    <w:basedOn w:val="1"/>
    <w:qFormat/>
    <w:uiPriority w:val="0"/>
    <w:pPr>
      <w:ind w:firstLine="420" w:firstLineChars="200"/>
    </w:pPr>
    <w:rPr>
      <w:szCs w:val="20"/>
    </w:rPr>
  </w:style>
  <w:style w:type="paragraph" w:customStyle="1" w:styleId="17">
    <w:name w:val="zxj正文z"/>
    <w:basedOn w:val="1"/>
    <w:qFormat/>
    <w:uiPriority w:val="0"/>
    <w:pPr>
      <w:spacing w:line="360" w:lineRule="auto"/>
      <w:ind w:firstLine="420" w:firstLineChars="200"/>
      <w:textAlignment w:val="top"/>
    </w:pPr>
    <w:rPr>
      <w:rFonts w:cstheme="minorBidi"/>
      <w:sz w:val="24"/>
      <w:szCs w:val="21"/>
    </w:rPr>
  </w:style>
  <w:style w:type="paragraph" w:customStyle="1" w:styleId="1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9">
    <w:name w:val="内容"/>
    <w:basedOn w:val="1"/>
    <w:link w:val="20"/>
    <w:qFormat/>
    <w:uiPriority w:val="0"/>
    <w:pPr>
      <w:adjustRightInd w:val="0"/>
      <w:snapToGrid w:val="0"/>
      <w:spacing w:beforeLines="50" w:line="360" w:lineRule="auto"/>
      <w:ind w:firstLine="200" w:firstLineChars="200"/>
      <w:textAlignment w:val="center"/>
    </w:pPr>
    <w:rPr>
      <w:rFonts w:eastAsia="仿宋"/>
      <w:color w:val="000000"/>
      <w:sz w:val="28"/>
      <w:szCs w:val="28"/>
    </w:rPr>
  </w:style>
  <w:style w:type="character" w:customStyle="1" w:styleId="20">
    <w:name w:val="内容 Char"/>
    <w:link w:val="19"/>
    <w:qFormat/>
    <w:uiPriority w:val="0"/>
    <w:rPr>
      <w:rFonts w:eastAsia="仿宋"/>
      <w:color w:val="000000"/>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4208</Words>
  <Characters>4543</Characters>
  <Lines>33</Lines>
  <Paragraphs>9</Paragraphs>
  <TotalTime>73</TotalTime>
  <ScaleCrop>false</ScaleCrop>
  <LinksUpToDate>false</LinksUpToDate>
  <CharactersWithSpaces>4592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2024-03-15T05:23:00Z</dcterms:created>
  <dc:creator>Iron</dc:creator>
  <cp:lastModifiedBy>罗俊超</cp:lastModifiedBy>
  <cp:lastPrinted>2024-11-26T06:53:17Z</cp:lastPrinted>
  <dcterms:modified xsi:type="dcterms:W3CDTF">2024-11-26T06:56:37Z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0E16FCB4577556FB8E0133679041B7E5_43</vt:lpwstr>
  </property>
</Properties>
</file>